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914400" cy="91440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6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66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24288;o:allowoverlap:true;o:allowincell:true;mso-position-horizontal-relative:text;margin-left:369.00pt;mso-position-horizontal:absolute;mso-position-vertical-relative:text;margin-top:9.00pt;mso-position-vertical:absolute;width:72.00pt;height:72.0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66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</w:r>
                      <w:r>
                        <w:rPr>
                          <w:b/>
                          <w:sz w:val="24"/>
                          <w:szCs w:val="24"/>
                        </w:rPr>
                      </w:r>
                      <w:r>
                        <w:rPr>
                          <w:b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66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0" b="0"/>
                <wp:docPr id="2" name="_x0000_i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66"/>
        <w:jc w:val="center"/>
      </w:pPr>
      <w:r/>
      <w:r/>
    </w:p>
    <w:p>
      <w:pPr>
        <w:pStyle w:val="86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9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-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68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67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67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pStyle w:val="866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67"/>
      </w:pPr>
      <w:r>
        <w:t xml:space="preserve">ПОСТАНОВЛЕНИЕ</w:t>
      </w:r>
      <w:r/>
    </w:p>
    <w:p>
      <w:pPr>
        <w:pStyle w:val="86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Проект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5"/>
      </w:pPr>
      <w:r/>
      <w:r/>
    </w:p>
    <w:p>
      <w:pPr>
        <w:pStyle w:val="875"/>
      </w:pPr>
      <w:r>
        <w:t xml:space="preserve">от ___ января 202</w:t>
      </w:r>
      <w:r>
        <w:t xml:space="preserve">6</w:t>
      </w:r>
      <w:r>
        <w:t xml:space="preserve"> года                                  </w:t>
        <w:tab/>
        <w:t xml:space="preserve">                         </w:t>
        <w:tab/>
        <w:t xml:space="preserve">               №______ </w:t>
      </w:r>
      <w:r/>
    </w:p>
    <w:p>
      <w:pPr>
        <w:pStyle w:val="875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84"/>
        <w:rPr>
          <w:color w:val="000000"/>
        </w:rPr>
      </w:pPr>
      <w:r>
        <w:rPr>
          <w:color w:val="000000"/>
        </w:rPr>
        <w:t xml:space="preserve">О внесении изменений в приложение к постановлению администрации</w:t>
      </w:r>
      <w:r>
        <w:rPr>
          <w:color w:val="000000"/>
        </w:rPr>
      </w:r>
      <w:r>
        <w:rPr>
          <w:color w:val="000000"/>
        </w:rPr>
      </w:r>
    </w:p>
    <w:p>
      <w:pPr>
        <w:pStyle w:val="884"/>
        <w:rPr>
          <w:color w:val="000000"/>
        </w:rPr>
      </w:pPr>
      <w:r>
        <w:rPr>
          <w:color w:val="000000"/>
        </w:rPr>
        <w:t xml:space="preserve">Белоярского района от 24 сентября 2018 года № 876</w:t>
      </w:r>
      <w:r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40"/>
        <w:jc w:val="both"/>
        <w:widowControl w:val="off"/>
      </w:pPr>
      <w:r/>
      <w:r/>
    </w:p>
    <w:p>
      <w:pPr>
        <w:pStyle w:val="866"/>
        <w:ind w:firstLine="720"/>
        <w:jc w:val="both"/>
        <w:widowControl w:val="off"/>
      </w:pPr>
      <w:r/>
      <w:r/>
    </w:p>
    <w:p>
      <w:pPr>
        <w:pStyle w:val="866"/>
        <w:jc w:val="both"/>
        <w:widowControl w:val="off"/>
        <w:rPr>
          <w:b/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 xml:space="preserve">  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соответствии </w:t>
      </w:r>
      <w:r>
        <w:rPr>
          <w:color w:val="000000"/>
          <w:sz w:val="24"/>
          <w:szCs w:val="24"/>
        </w:rPr>
        <w:t xml:space="preserve">Законом Российской Федерации от 4 июля 1991 года № 1541-1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«О приватизации жилищного фонда в Российской Федера</w:t>
      </w:r>
      <w:r>
        <w:rPr>
          <w:color w:val="000000"/>
          <w:sz w:val="24"/>
          <w:szCs w:val="24"/>
        </w:rPr>
        <w:t xml:space="preserve">ции», федеральными законами от </w:t>
      </w:r>
      <w:r>
        <w:rPr>
          <w:color w:val="000000"/>
          <w:sz w:val="24"/>
          <w:szCs w:val="24"/>
        </w:rPr>
        <w:t xml:space="preserve">6 октября 2003 года № 131-ФЗ «Об общих принципах организации местного самоуправления в Российской Федерации», от 27 июля 2010 года № 210-ФЗ «Об организации пред</w:t>
      </w:r>
      <w:r>
        <w:rPr>
          <w:color w:val="000000"/>
          <w:sz w:val="24"/>
          <w:szCs w:val="24"/>
        </w:rPr>
        <w:t xml:space="preserve">оставления государственных и муниципальных услуг», постановлением администрации Белоярского района от 30 сентября 2010 года № 1381 «О Порядке разработки и утверждения административных регламентов предоставления муниципальных услуг»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п о с т а н о в л я ю: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</w:rPr>
      </w:r>
    </w:p>
    <w:p>
      <w:pPr>
        <w:pStyle w:val="866"/>
        <w:ind w:firstLine="709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 xml:space="preserve">Внести в приложение «Административный регламент предоставления муниципаль</w:t>
      </w:r>
      <w:r>
        <w:rPr>
          <w:color w:val="000000"/>
          <w:sz w:val="24"/>
          <w:szCs w:val="24"/>
        </w:rPr>
        <w:t xml:space="preserve">ной услуги «Бесплатная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помещений)» к постановлению администрации Белоярского района от 24 сентября 2018 года № 876 «Об у</w:t>
      </w:r>
      <w:r>
        <w:rPr>
          <w:color w:val="000000"/>
          <w:sz w:val="24"/>
          <w:szCs w:val="24"/>
        </w:rPr>
        <w:t xml:space="preserve">тверждении административного регламента предоставления муниципальной услуги «Бесплатная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помещений)» следующие изменения:</w:t>
      </w:r>
      <w:r>
        <w:rPr>
          <w:color w:val="000000"/>
          <w:sz w:val="24"/>
          <w:szCs w:val="24"/>
        </w:rPr>
      </w:r>
      <w:r>
        <w:rPr>
          <w:color w:val="000000"/>
        </w:rPr>
      </w:r>
    </w:p>
    <w:p>
      <w:pPr>
        <w:pStyle w:val="866"/>
        <w:ind w:firstLine="709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1) </w:t>
      </w:r>
      <w:r>
        <w:rPr>
          <w:color w:val="000000"/>
          <w:sz w:val="24"/>
          <w:szCs w:val="24"/>
        </w:rPr>
        <w:t xml:space="preserve">подпункт 1.3.2 пункта </w:t>
      </w:r>
      <w:r>
        <w:rPr>
          <w:color w:val="000000"/>
          <w:sz w:val="24"/>
          <w:szCs w:val="24"/>
        </w:rPr>
        <w:t xml:space="preserve">1.3</w:t>
      </w:r>
      <w:r>
        <w:rPr>
          <w:color w:val="000000"/>
          <w:sz w:val="24"/>
          <w:szCs w:val="24"/>
        </w:rPr>
        <w:t xml:space="preserve"> раздела I изложить в следующей редакции:</w:t>
      </w:r>
      <w:r>
        <w:rPr>
          <w:color w:val="000000"/>
          <w:sz w:val="24"/>
          <w:szCs w:val="24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  <w:highlight w:val="none"/>
        </w:rPr>
      </w:pP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 xml:space="preserve">1.3.2. Способы получения информации о месте нахождения, справочных телефонах, графике работы </w:t>
      </w:r>
      <w:r>
        <w:rPr>
          <w:color w:val="000000"/>
          <w:sz w:val="24"/>
          <w:szCs w:val="24"/>
        </w:rPr>
        <w:t xml:space="preserve">Филиала АУ «Многофункциональный центр Югры» в Белоярском районе</w:t>
      </w:r>
      <w:r>
        <w:rPr>
          <w:color w:val="000000"/>
          <w:sz w:val="24"/>
          <w:szCs w:val="24"/>
        </w:rPr>
        <w:t xml:space="preserve"> (далее</w:t>
      </w:r>
      <w:r>
        <w:rPr>
          <w:color w:val="000000"/>
          <w:sz w:val="24"/>
          <w:szCs w:val="24"/>
        </w:rPr>
        <w:t xml:space="preserve"> - МФЦ):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highlight w:val="none"/>
        </w:rPr>
      </w:r>
    </w:p>
    <w:p>
      <w:pPr>
        <w:pStyle w:val="866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Место нахождения: 628162, Тюменская область, Ханты-Мансийский автономный округ - Югра, г. Белоярский, 1 микрорайон, д. 15/1.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6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Телефон </w:t>
      </w:r>
      <w:r>
        <w:rPr>
          <w:color w:val="000000"/>
          <w:sz w:val="24"/>
          <w:szCs w:val="24"/>
        </w:rPr>
        <w:t xml:space="preserve">122 (доб. 4), 8(3467)38-87-58 для абонентов из других регионов</w:t>
      </w:r>
      <w:r>
        <w:rPr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6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Адрес официального сайта: </w:t>
      </w:r>
      <w:r>
        <w:rPr>
          <w:color w:val="000000"/>
          <w:sz w:val="24"/>
          <w:szCs w:val="24"/>
        </w:rPr>
        <w:t xml:space="preserve">https://mfc.admhmao.ru/</w:t>
      </w:r>
      <w:r>
        <w:rPr>
          <w:color w:val="000000"/>
          <w:sz w:val="24"/>
          <w:szCs w:val="24"/>
        </w:rPr>
        <w:t xml:space="preserve">/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6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Адрес электронной почты: </w:t>
      </w:r>
      <w:r>
        <w:rPr>
          <w:color w:val="000000"/>
          <w:sz w:val="24"/>
          <w:szCs w:val="24"/>
        </w:rPr>
        <w:t xml:space="preserve">office@mfchmao.ru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6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График работы: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понедельник - пятница: с 8:00 до 20:00;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суббота: с 9:00 до 15:00;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6"/>
        <w:numPr>
          <w:ilvl w:val="0"/>
          <w:numId w:val="2"/>
        </w:numPr>
        <w:jc w:val="both"/>
        <w:rPr>
          <w:color w:val="000000"/>
        </w:rPr>
      </w:pPr>
      <w:r>
        <w:rPr>
          <w:sz w:val="24"/>
          <w:szCs w:val="24"/>
        </w:rPr>
        <w:t xml:space="preserve">воскресенье: выходной день.</w:t>
      </w:r>
      <w:r>
        <w:rPr>
          <w:sz w:val="24"/>
          <w:szCs w:val="24"/>
        </w:rPr>
        <w:t xml:space="preserve">»;</w:t>
      </w:r>
      <w:r>
        <w:rPr>
          <w:color w:val="000000"/>
          <w:sz w:val="24"/>
          <w:szCs w:val="24"/>
        </w:rPr>
      </w:r>
      <w:r>
        <w:rPr>
          <w:color w:val="000000"/>
        </w:rPr>
      </w:r>
    </w:p>
    <w:p>
      <w:pPr>
        <w:pStyle w:val="866"/>
        <w:ind w:firstLine="709"/>
        <w:jc w:val="both"/>
        <w:rPr>
          <w:color w:val="000000"/>
          <w:highlight w:val="none"/>
        </w:rPr>
      </w:pPr>
      <w:r>
        <w:rPr>
          <w:color w:val="000000"/>
          <w:sz w:val="24"/>
          <w:szCs w:val="24"/>
        </w:rPr>
        <w:t xml:space="preserve">2) </w:t>
      </w:r>
      <w:r>
        <w:rPr>
          <w:color w:val="000000"/>
          <w:sz w:val="24"/>
          <w:szCs w:val="24"/>
        </w:rPr>
        <w:t xml:space="preserve">подпункт 1.3.3 пункта </w:t>
      </w:r>
      <w:r>
        <w:rPr>
          <w:color w:val="000000"/>
          <w:sz w:val="24"/>
          <w:szCs w:val="24"/>
        </w:rPr>
        <w:t xml:space="preserve">1.3</w:t>
      </w:r>
      <w:r>
        <w:rPr>
          <w:color w:val="000000"/>
          <w:sz w:val="24"/>
          <w:szCs w:val="24"/>
        </w:rPr>
        <w:t xml:space="preserve"> раздела I </w:t>
      </w:r>
      <w:r>
        <w:rPr>
          <w:color w:val="000000"/>
          <w:sz w:val="24"/>
          <w:szCs w:val="24"/>
        </w:rPr>
        <w:t xml:space="preserve">изложить в следующей редакции: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highlight w:val="none"/>
        </w:rPr>
      </w:r>
    </w:p>
    <w:p>
      <w:pPr>
        <w:ind w:firstLine="709"/>
        <w:jc w:val="both"/>
        <w:rPr>
          <w:color w:val="000000"/>
          <w:highlight w:val="none"/>
        </w:rPr>
      </w:pPr>
      <w:r>
        <w:rPr>
          <w:color w:val="000000"/>
          <w:sz w:val="24"/>
          <w:szCs w:val="24"/>
          <w:highlight w:val="none"/>
        </w:rPr>
        <w:t xml:space="preserve">«1.3.3. Способы получения информации о месте нахождения, справочных телефонах, графике работы адресе официального сайта государственных органов власти и организаций, обращение в которые необходимо для получения муниципальной услуги: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highlight w:val="none"/>
        </w:rPr>
      </w:r>
    </w:p>
    <w:p>
      <w:pPr>
        <w:ind w:firstLine="709"/>
        <w:jc w:val="both"/>
        <w:rPr>
          <w:color w:val="000000"/>
          <w:highlight w:val="none"/>
        </w:rPr>
      </w:pPr>
      <w:r>
        <w:rPr>
          <w:color w:val="000000"/>
          <w:sz w:val="24"/>
          <w:szCs w:val="24"/>
          <w:highlight w:val="none"/>
        </w:rPr>
        <w:t xml:space="preserve">1) Управление социальной защиты населения</w:t>
      </w:r>
      <w:r>
        <w:rPr>
          <w:color w:val="000000"/>
          <w:sz w:val="24"/>
          <w:szCs w:val="24"/>
          <w:highlight w:val="none"/>
        </w:rPr>
        <w:t xml:space="preserve"> опеки и попечительства по Белоярскому району.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highlight w:val="none"/>
        </w:rPr>
      </w:r>
    </w:p>
    <w:p>
      <w:pPr>
        <w:ind w:firstLine="709"/>
        <w:jc w:val="both"/>
        <w:rPr>
          <w:color w:val="000000"/>
          <w:highlight w:val="none"/>
        </w:rPr>
      </w:pPr>
      <w:r>
        <w:rPr>
          <w:color w:val="000000"/>
          <w:sz w:val="24"/>
          <w:szCs w:val="24"/>
          <w:highlight w:val="none"/>
        </w:rPr>
        <w:t xml:space="preserve">Место нахождения: 628162, Тюменская область, Ханты-Мансийский автономный округ - Югра, г. Белоярский, </w:t>
      </w:r>
      <w:r>
        <w:rPr>
          <w:color w:val="000000"/>
          <w:sz w:val="24"/>
          <w:szCs w:val="24"/>
          <w:highlight w:val="none"/>
        </w:rPr>
        <w:t xml:space="preserve">7 мкр, д. 5</w:t>
      </w:r>
      <w:r>
        <w:rPr>
          <w:color w:val="000000"/>
          <w:sz w:val="24"/>
          <w:szCs w:val="24"/>
          <w:highlight w:val="none"/>
        </w:rPr>
        <w:t xml:space="preserve">.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highlight w:val="none"/>
        </w:rPr>
      </w:r>
    </w:p>
    <w:p>
      <w:pPr>
        <w:ind w:firstLine="709"/>
        <w:jc w:val="both"/>
        <w:rPr>
          <w:color w:val="000000"/>
          <w:highlight w:val="none"/>
        </w:rPr>
      </w:pPr>
      <w:r>
        <w:rPr>
          <w:color w:val="000000"/>
          <w:sz w:val="24"/>
          <w:szCs w:val="24"/>
          <w:highlight w:val="none"/>
        </w:rPr>
        <w:t xml:space="preserve">Телефон </w:t>
      </w:r>
      <w:r>
        <w:rPr>
          <w:color w:val="000000"/>
          <w:sz w:val="24"/>
          <w:szCs w:val="24"/>
          <w:highlight w:val="none"/>
        </w:rPr>
        <w:t xml:space="preserve">+7 (3467) 022-171 доб: 7109, 7112, 7114;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highlight w:val="none"/>
        </w:rPr>
      </w:r>
    </w:p>
    <w:p>
      <w:pPr>
        <w:ind w:firstLine="709"/>
        <w:jc w:val="both"/>
        <w:rPr>
          <w:color w:val="000000"/>
          <w:highlight w:val="none"/>
        </w:rPr>
      </w:pPr>
      <w:r>
        <w:rPr>
          <w:color w:val="000000"/>
          <w:sz w:val="24"/>
          <w:szCs w:val="24"/>
          <w:highlight w:val="none"/>
        </w:rPr>
        <w:t xml:space="preserve">Адрес официального сайта: </w:t>
      </w:r>
      <w:r>
        <w:rPr>
          <w:color w:val="000000"/>
          <w:sz w:val="24"/>
          <w:szCs w:val="24"/>
          <w:highlight w:val="none"/>
        </w:rPr>
        <w:t xml:space="preserve">https://depsr.admhmao.ru/</w:t>
      </w:r>
      <w:r>
        <w:rPr>
          <w:color w:val="000000"/>
          <w:sz w:val="24"/>
          <w:szCs w:val="24"/>
          <w:highlight w:val="none"/>
        </w:rPr>
        <w:t xml:space="preserve">.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highlight w:val="none"/>
        </w:rPr>
      </w:r>
    </w:p>
    <w:p>
      <w:pPr>
        <w:ind w:firstLine="709"/>
        <w:jc w:val="both"/>
        <w:rPr>
          <w:color w:val="000000"/>
          <w:highlight w:val="none"/>
        </w:rPr>
      </w:pPr>
      <w:r>
        <w:rPr>
          <w:color w:val="000000"/>
          <w:sz w:val="24"/>
          <w:szCs w:val="24"/>
          <w:highlight w:val="none"/>
        </w:rPr>
        <w:t xml:space="preserve">Адрес электронной почты: </w:t>
      </w:r>
      <w:r>
        <w:rPr>
          <w:color w:val="000000"/>
          <w:sz w:val="24"/>
          <w:szCs w:val="24"/>
          <w:highlight w:val="none"/>
        </w:rPr>
        <w:t xml:space="preserve">SvatkovSA@admhmao.ru</w:t>
      </w:r>
      <w:r>
        <w:rPr>
          <w:color w:val="000000"/>
          <w:sz w:val="24"/>
          <w:szCs w:val="24"/>
          <w:highlight w:val="none"/>
        </w:rPr>
        <w:t xml:space="preserve">.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highlight w:val="none"/>
        </w:rPr>
      </w:r>
    </w:p>
    <w:p>
      <w:pPr>
        <w:ind w:firstLine="709"/>
        <w:jc w:val="both"/>
        <w:rPr>
          <w:color w:val="000000"/>
          <w:highlight w:val="none"/>
        </w:rPr>
      </w:pPr>
      <w:r>
        <w:rPr>
          <w:color w:val="000000"/>
          <w:sz w:val="24"/>
          <w:szCs w:val="24"/>
          <w:highlight w:val="none"/>
        </w:rPr>
        <w:t xml:space="preserve">График работы: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highlight w:val="none"/>
        </w:rPr>
      </w:r>
    </w:p>
    <w:p>
      <w:pPr>
        <w:pStyle w:val="706"/>
        <w:numPr>
          <w:ilvl w:val="0"/>
          <w:numId w:val="3"/>
        </w:numPr>
        <w:jc w:val="both"/>
        <w:rPr>
          <w:color w:val="000000"/>
          <w:highlight w:val="none"/>
        </w:rPr>
      </w:pPr>
      <w:r>
        <w:rPr>
          <w:color w:val="000000"/>
          <w:sz w:val="24"/>
          <w:szCs w:val="24"/>
          <w:highlight w:val="none"/>
        </w:rPr>
        <w:t xml:space="preserve">понедельник, с 9.00 до 18.00;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highlight w:val="none"/>
        </w:rPr>
      </w:r>
    </w:p>
    <w:p>
      <w:pPr>
        <w:pStyle w:val="706"/>
        <w:numPr>
          <w:ilvl w:val="0"/>
          <w:numId w:val="3"/>
        </w:numPr>
        <w:jc w:val="both"/>
        <w:rPr>
          <w:color w:val="000000"/>
          <w:highlight w:val="none"/>
        </w:rPr>
      </w:pPr>
      <w:r>
        <w:rPr>
          <w:color w:val="000000"/>
          <w:sz w:val="24"/>
          <w:szCs w:val="24"/>
          <w:highlight w:val="none"/>
        </w:rPr>
        <w:t xml:space="preserve">среда, с 9.00 до 17.00; 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highlight w:val="none"/>
        </w:rPr>
      </w:r>
    </w:p>
    <w:p>
      <w:pPr>
        <w:pStyle w:val="706"/>
        <w:numPr>
          <w:ilvl w:val="0"/>
          <w:numId w:val="3"/>
        </w:numPr>
        <w:jc w:val="both"/>
        <w:rPr>
          <w:color w:val="000000"/>
          <w:highlight w:val="none"/>
        </w:rPr>
      </w:pPr>
      <w:r>
        <w:rPr>
          <w:color w:val="000000"/>
          <w:sz w:val="24"/>
          <w:szCs w:val="24"/>
          <w:highlight w:val="none"/>
        </w:rPr>
        <w:t xml:space="preserve">перерыв с 13-00 до 14-00;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highlight w:val="none"/>
        </w:rPr>
      </w:r>
    </w:p>
    <w:p>
      <w:pPr>
        <w:ind w:firstLine="709"/>
        <w:jc w:val="both"/>
        <w:rPr>
          <w:color w:val="000000"/>
          <w:highlight w:val="none"/>
        </w:rPr>
      </w:pPr>
      <w:r>
        <w:rPr>
          <w:color w:val="000000"/>
          <w:sz w:val="24"/>
          <w:szCs w:val="24"/>
          <w:highlight w:val="none"/>
        </w:rPr>
        <w:t xml:space="preserve">(жители трассовых поселков принимаются ежедневно)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highlight w:val="none"/>
        </w:rPr>
      </w:r>
    </w:p>
    <w:p>
      <w:pPr>
        <w:pStyle w:val="706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  <w:sz w:val="24"/>
          <w:szCs w:val="24"/>
          <w:highlight w:val="none"/>
        </w:rPr>
        <w:t xml:space="preserve">суббота, воскресенье - выходные дни.</w:t>
      </w:r>
      <w:r>
        <w:rPr>
          <w:color w:val="000000"/>
          <w:sz w:val="24"/>
          <w:szCs w:val="24"/>
          <w:highlight w:val="none"/>
        </w:rPr>
        <w:t xml:space="preserve">»;</w:t>
      </w:r>
      <w:r>
        <w:rPr>
          <w:color w:val="000000"/>
          <w:sz w:val="24"/>
          <w:szCs w:val="24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3) </w:t>
      </w:r>
      <w:r>
        <w:rPr>
          <w:color w:val="000000"/>
          <w:sz w:val="24"/>
          <w:szCs w:val="24"/>
        </w:rPr>
        <w:t xml:space="preserve">подпункт 2.6.2 пункта 2.6 раздела I</w:t>
      </w:r>
      <w:r>
        <w:rPr>
          <w:color w:val="000000"/>
          <w:sz w:val="24"/>
          <w:szCs w:val="24"/>
        </w:rPr>
        <w:t xml:space="preserve">I</w:t>
      </w:r>
      <w:r>
        <w:rPr>
          <w:color w:val="000000"/>
          <w:sz w:val="24"/>
          <w:szCs w:val="24"/>
        </w:rPr>
        <w:t xml:space="preserve"> изложить в следующей редакции: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</w:r>
      <w:r>
        <w:rPr>
          <w:color w:val="000000"/>
        </w:rPr>
      </w:r>
    </w:p>
    <w:p>
      <w:pPr>
        <w:pStyle w:val="866"/>
        <w:ind w:firstLine="709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 xml:space="preserve">2.6.2. Способы получения заявителем документов, необходимых для предоставления муниципальной услуги.</w:t>
      </w:r>
      <w:r>
        <w:rPr>
          <w:color w:val="000000"/>
          <w:sz w:val="24"/>
          <w:szCs w:val="24"/>
        </w:rPr>
      </w:r>
      <w:r>
        <w:rPr>
          <w:color w:val="000000"/>
        </w:rPr>
      </w:r>
    </w:p>
    <w:p>
      <w:pPr>
        <w:pStyle w:val="866"/>
        <w:ind w:firstLine="709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Заявление о предоставлении муниципальной услуги, представляется в свободной форме либо по рекомендуемой форме, приведенной в приложении 1 к настоящему Административному регламенту.</w:t>
      </w:r>
      <w:r>
        <w:rPr>
          <w:color w:val="000000"/>
          <w:sz w:val="24"/>
          <w:szCs w:val="24"/>
        </w:rPr>
      </w:r>
      <w:r>
        <w:rPr>
          <w:color w:val="000000"/>
        </w:rPr>
      </w:r>
    </w:p>
    <w:p>
      <w:pPr>
        <w:pStyle w:val="866"/>
        <w:ind w:firstLine="709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Форму заявления о предоставлении муниципальной услуги заявитель может получить:</w:t>
      </w:r>
      <w:r>
        <w:rPr>
          <w:color w:val="000000"/>
          <w:sz w:val="24"/>
          <w:szCs w:val="24"/>
        </w:rPr>
      </w:r>
      <w:r>
        <w:rPr>
          <w:color w:val="000000"/>
        </w:rPr>
      </w:r>
    </w:p>
    <w:p>
      <w:pPr>
        <w:pStyle w:val="866"/>
        <w:ind w:firstLine="709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1) на бумажном носителе в месте предоставления муниципальной услуги:</w:t>
      </w:r>
      <w:r>
        <w:rPr>
          <w:color w:val="000000"/>
          <w:sz w:val="24"/>
          <w:szCs w:val="24"/>
        </w:rPr>
      </w:r>
      <w:r>
        <w:rPr>
          <w:color w:val="000000"/>
        </w:rPr>
      </w:r>
    </w:p>
    <w:p>
      <w:pPr>
        <w:pStyle w:val="866"/>
        <w:ind w:firstLine="709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на информационном стенде Уполномоченного органа;</w:t>
      </w:r>
      <w:r>
        <w:rPr>
          <w:color w:val="000000"/>
          <w:sz w:val="24"/>
          <w:szCs w:val="24"/>
        </w:rPr>
      </w:r>
      <w:r>
        <w:rPr>
          <w:color w:val="000000"/>
        </w:rPr>
      </w:r>
    </w:p>
    <w:p>
      <w:pPr>
        <w:pStyle w:val="866"/>
        <w:ind w:firstLine="709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у специалиста Отдела, ответственного за предоставление муниципальной услуги;</w:t>
      </w:r>
      <w:r>
        <w:rPr>
          <w:color w:val="000000"/>
          <w:sz w:val="24"/>
          <w:szCs w:val="24"/>
        </w:rPr>
      </w:r>
      <w:r>
        <w:rPr>
          <w:color w:val="000000"/>
        </w:rPr>
      </w:r>
    </w:p>
    <w:p>
      <w:pPr>
        <w:pStyle w:val="866"/>
        <w:ind w:firstLine="709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у специалиста МФЦ;</w:t>
      </w:r>
      <w:r>
        <w:rPr>
          <w:color w:val="000000"/>
          <w:sz w:val="24"/>
          <w:szCs w:val="24"/>
        </w:rPr>
      </w:r>
      <w:r>
        <w:rPr>
          <w:color w:val="000000"/>
        </w:rPr>
      </w:r>
    </w:p>
    <w:p>
      <w:pPr>
        <w:pStyle w:val="866"/>
        <w:ind w:firstLine="709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2) в форме электронного документа посредством информационно-телекоммуникационной сети Интернет:</w:t>
      </w:r>
      <w:r>
        <w:rPr>
          <w:color w:val="000000"/>
          <w:sz w:val="24"/>
          <w:szCs w:val="24"/>
        </w:rPr>
      </w:r>
      <w:r>
        <w:rPr>
          <w:color w:val="000000"/>
        </w:rPr>
      </w:r>
    </w:p>
    <w:p>
      <w:pPr>
        <w:pStyle w:val="866"/>
        <w:ind w:firstLine="709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на Едином портале;</w:t>
      </w:r>
      <w:r>
        <w:rPr>
          <w:color w:val="000000"/>
          <w:sz w:val="24"/>
          <w:szCs w:val="24"/>
        </w:rPr>
      </w:r>
      <w:r>
        <w:rPr>
          <w:color w:val="000000"/>
        </w:rPr>
      </w:r>
    </w:p>
    <w:p>
      <w:pPr>
        <w:pStyle w:val="866"/>
        <w:ind w:firstLine="709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на региональном портале;</w:t>
      </w:r>
      <w:r>
        <w:rPr>
          <w:color w:val="000000"/>
          <w:sz w:val="24"/>
          <w:szCs w:val="24"/>
        </w:rPr>
      </w:r>
      <w:r>
        <w:rPr>
          <w:color w:val="000000"/>
        </w:rPr>
      </w:r>
    </w:p>
    <w:p>
      <w:pPr>
        <w:pStyle w:val="866"/>
        <w:ind w:firstLine="709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на официальном сайте.</w:t>
      </w:r>
      <w:r>
        <w:rPr>
          <w:color w:val="000000"/>
          <w:sz w:val="24"/>
          <w:szCs w:val="24"/>
        </w:rPr>
      </w:r>
      <w:r>
        <w:rPr>
          <w:color w:val="000000"/>
        </w:rPr>
      </w:r>
    </w:p>
    <w:p>
      <w:pPr>
        <w:pStyle w:val="866"/>
        <w:ind w:firstLine="709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С</w:t>
      </w:r>
      <w:r>
        <w:rPr>
          <w:color w:val="000000"/>
          <w:sz w:val="24"/>
          <w:szCs w:val="24"/>
        </w:rPr>
        <w:t xml:space="preserve">огласие всех совместно проживающих совершеннолетних членов семьи на приватизацию жилого помещения в общую собственность либо в собственность одного лица, в том числе несовершеннолетнего, представляется в свободной форме либо по форме, приведенной в приложе</w:t>
      </w:r>
      <w:r>
        <w:rPr>
          <w:color w:val="000000"/>
          <w:sz w:val="24"/>
          <w:szCs w:val="24"/>
        </w:rPr>
        <w:t xml:space="preserve">нии 2 к настоящему Административному регламенту (далее - Согласие).</w:t>
      </w:r>
      <w:r>
        <w:rPr>
          <w:color w:val="000000"/>
          <w:sz w:val="24"/>
          <w:szCs w:val="24"/>
        </w:rPr>
      </w:r>
      <w:r>
        <w:rPr>
          <w:color w:val="000000"/>
        </w:rPr>
      </w:r>
    </w:p>
    <w:p>
      <w:pPr>
        <w:pStyle w:val="866"/>
        <w:ind w:firstLine="709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тказ опекунов и попечителей (в том числе родителей и усыновителей) от включения несовершеннолетних в число участников общей собственности на приватизируемое жилое помещение представляется в свободной форме либо по форме, приведенной в приложении 3 к настоя</w:t>
      </w:r>
      <w:r>
        <w:rPr>
          <w:color w:val="000000"/>
          <w:sz w:val="24"/>
          <w:szCs w:val="24"/>
        </w:rPr>
        <w:t xml:space="preserve">щему Административному регламенту (далее - Отказ).</w:t>
      </w:r>
      <w:r>
        <w:rPr>
          <w:color w:val="000000"/>
          <w:sz w:val="24"/>
          <w:szCs w:val="24"/>
        </w:rPr>
      </w:r>
      <w:r>
        <w:rPr>
          <w:color w:val="000000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Заявление об отказе от участия в приватизации жилого помещения представляется в свободной форме либо по форме, приведенной в приложении 4 к настоящему Административному регламенту (далее - Заявление об отказе от участия в приватизации)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  <w:t xml:space="preserve">»</w:t>
      </w:r>
      <w:r>
        <w:rPr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866"/>
        <w:ind w:firstLine="720"/>
        <w:jc w:val="both"/>
        <w:widowControl w:val="o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</w:t>
      </w:r>
      <w:r>
        <w:rPr>
          <w:color w:val="000000"/>
          <w:sz w:val="24"/>
          <w:szCs w:val="24"/>
        </w:rPr>
        <w:t xml:space="preserve">. Опубликовать настоящее постановление в газете «Белоярские вести. Официальный выпуск».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20"/>
        <w:jc w:val="both"/>
        <w:widowControl w:val="o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t xml:space="preserve">3</w:t>
      </w:r>
      <w:r>
        <w:rPr>
          <w:color w:val="000000"/>
          <w:sz w:val="24"/>
          <w:szCs w:val="24"/>
        </w:rPr>
        <w:t xml:space="preserve">. 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20"/>
        <w:jc w:val="both"/>
        <w:widowControl w:val="o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t xml:space="preserve">4. Контроль за выполнением постановления возложить на заместителя главы Белоярского района Гайворонского А.В</w:t>
      </w:r>
      <w:r>
        <w:rPr>
          <w:color w:val="000000"/>
          <w:sz w:val="24"/>
          <w:szCs w:val="24"/>
        </w:rPr>
        <w:t xml:space="preserve">.  </w:t>
      </w:r>
      <w:r>
        <w:rPr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5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                           </w:t>
        <w:tab/>
        <w:t xml:space="preserve"> </w:t>
        <w:tab/>
        <w:t xml:space="preserve">                                   С.П. 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134" w:right="850" w:bottom="1077" w:left="1446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Tahoma">
    <w:panose1 w:val="020B0604030504040204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framePr w:vAnchor="text" w:hAnchor="margin" w:xAlign="right" w:y="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3"/>
      </w:rPr>
      <w:framePr w:vAnchor="text" w:hAnchor="margin" w:xAlign="center" w:y="1"/>
    </w:pPr>
    <w:r>
      <w:rPr>
        <w:rStyle w:val="873"/>
      </w:rPr>
    </w:r>
    <w:r>
      <w:rPr>
        <w:rStyle w:val="873"/>
      </w:rPr>
    </w:r>
    <w:r>
      <w:rPr>
        <w:rStyle w:val="873"/>
      </w:rPr>
    </w:r>
  </w:p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89">
    <w:name w:val="Heading 1 Char"/>
    <w:link w:val="688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91">
    <w:name w:val="Heading 2 Char"/>
    <w:link w:val="690"/>
    <w:uiPriority w:val="9"/>
    <w:rPr>
      <w:rFonts w:ascii="Liberation Sans" w:hAnsi="Liberation Sans" w:eastAsia="Liberation Sans" w:cs="Liberation Sans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93">
    <w:name w:val="Heading 3 Char"/>
    <w:link w:val="692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jc w:val="center"/>
      <w:keepNext/>
      <w:outlineLvl w:val="0"/>
    </w:pPr>
    <w:rPr>
      <w:b/>
      <w:sz w:val="28"/>
    </w:rPr>
  </w:style>
  <w:style w:type="paragraph" w:styleId="868">
    <w:name w:val="Заголовок 2"/>
    <w:basedOn w:val="866"/>
    <w:next w:val="866"/>
    <w:link w:val="866"/>
    <w:qFormat/>
    <w:pPr>
      <w:jc w:val="center"/>
      <w:keepNext/>
      <w:outlineLvl w:val="1"/>
    </w:pPr>
    <w:rPr>
      <w:b/>
      <w:sz w:val="24"/>
    </w:rPr>
  </w:style>
  <w:style w:type="paragraph" w:styleId="869">
    <w:name w:val="Заголовок 3"/>
    <w:basedOn w:val="866"/>
    <w:next w:val="866"/>
    <w:link w:val="866"/>
    <w:qFormat/>
    <w:pPr>
      <w:jc w:val="center"/>
      <w:keepNext/>
      <w:outlineLvl w:val="2"/>
    </w:pPr>
    <w:rPr>
      <w:sz w:val="28"/>
    </w:rPr>
  </w:style>
  <w:style w:type="character" w:styleId="870">
    <w:name w:val="Основной шрифт абзаца"/>
    <w:next w:val="870"/>
    <w:link w:val="866"/>
    <w:semiHidden/>
  </w:style>
  <w:style w:type="table" w:styleId="871">
    <w:name w:val="Обычная таблица"/>
    <w:next w:val="871"/>
    <w:link w:val="866"/>
    <w:semiHidden/>
    <w:tblPr/>
  </w:style>
  <w:style w:type="numbering" w:styleId="872">
    <w:name w:val="Нет списка"/>
    <w:next w:val="872"/>
    <w:link w:val="866"/>
    <w:uiPriority w:val="99"/>
    <w:semiHidden/>
    <w:unhideWhenUsed/>
  </w:style>
  <w:style w:type="character" w:styleId="873">
    <w:name w:val="Номер страницы"/>
    <w:next w:val="873"/>
    <w:link w:val="866"/>
  </w:style>
  <w:style w:type="paragraph" w:styleId="874">
    <w:name w:val="Текст выноски"/>
    <w:basedOn w:val="866"/>
    <w:next w:val="874"/>
    <w:link w:val="866"/>
    <w:semiHidden/>
    <w:rPr>
      <w:rFonts w:ascii="Tahoma" w:hAnsi="Tahoma" w:cs="Tahoma"/>
      <w:sz w:val="16"/>
      <w:szCs w:val="16"/>
    </w:rPr>
  </w:style>
  <w:style w:type="paragraph" w:styleId="875">
    <w:name w:val="Основной текст с отступом 3"/>
    <w:basedOn w:val="866"/>
    <w:next w:val="875"/>
    <w:link w:val="876"/>
    <w:pPr>
      <w:jc w:val="center"/>
    </w:pPr>
    <w:rPr>
      <w:sz w:val="24"/>
    </w:rPr>
  </w:style>
  <w:style w:type="character" w:styleId="876">
    <w:name w:val="Основной текст с отступом 3 Знак"/>
    <w:next w:val="876"/>
    <w:link w:val="875"/>
    <w:rPr>
      <w:sz w:val="24"/>
    </w:rPr>
  </w:style>
  <w:style w:type="paragraph" w:styleId="877">
    <w:name w:val="Верхний колонтитул"/>
    <w:basedOn w:val="866"/>
    <w:next w:val="877"/>
    <w:link w:val="866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878">
    <w:name w:val="Основной текст с отступом"/>
    <w:basedOn w:val="866"/>
    <w:next w:val="878"/>
    <w:link w:val="866"/>
    <w:pPr>
      <w:ind w:left="283"/>
      <w:spacing w:after="120"/>
    </w:pPr>
  </w:style>
  <w:style w:type="paragraph" w:styleId="879">
    <w:name w:val="Нижний колонтитул"/>
    <w:basedOn w:val="866"/>
    <w:next w:val="879"/>
    <w:link w:val="866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880">
    <w:name w:val="ConsPlusNormal"/>
    <w:next w:val="880"/>
    <w:link w:val="866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881" w:default="1">
    <w:name w:val="Default Paragraph Font"/>
    <w:uiPriority w:val="1"/>
    <w:semiHidden/>
    <w:unhideWhenUsed/>
  </w:style>
  <w:style w:type="numbering" w:styleId="882" w:default="1">
    <w:name w:val="No List"/>
    <w:uiPriority w:val="99"/>
    <w:semiHidden/>
    <w:unhideWhenUsed/>
  </w:style>
  <w:style w:type="table" w:styleId="883" w:default="1">
    <w:name w:val="Normal Table"/>
    <w:uiPriority w:val="99"/>
    <w:semiHidden/>
    <w:unhideWhenUsed/>
    <w:tblPr/>
  </w:style>
  <w:style w:type="paragraph" w:styleId="884" w:customStyle="1">
    <w:name w:val="Основной текст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Abriks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TarasovaAN</dc:creator>
  <cp:lastModifiedBy>TokarevVI</cp:lastModifiedBy>
  <cp:revision>4</cp:revision>
  <dcterms:created xsi:type="dcterms:W3CDTF">2025-06-23T10:54:00Z</dcterms:created>
  <dcterms:modified xsi:type="dcterms:W3CDTF">2026-01-27T04:03:43Z</dcterms:modified>
  <cp:version>983040</cp:version>
</cp:coreProperties>
</file>