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2000" cy="88519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200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БЕЛОЯРСКИЙ РАЙОН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69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ХАНТЫ-МАНСИЙСКИЙ АВТОНОМНЫЙ ОКРУГ - ЮГРА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866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7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ПОСТАНОВЛЕНИЕ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75"/>
        <w:jc w:val="left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от 5</w:t>
      </w:r>
      <w:r>
        <w:rPr>
          <w:rFonts w:ascii="Times New Roman" w:hAnsi="Times New Roman"/>
        </w:rPr>
        <w:t xml:space="preserve"> декабря 2024 года</w:t>
        <w:tab/>
        <w:tab/>
        <w:tab/>
        <w:tab/>
        <w:tab/>
      </w:r>
      <w:r>
        <w:rPr>
          <w:rFonts w:ascii="Times New Roman" w:hAnsi="Times New Roman"/>
        </w:rPr>
        <w:tab/>
        <w:tab/>
        <w:t xml:space="preserve">                           № 838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75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ии муниципальной программы Белоярского района 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«Профилактика терроризма и правонарушений в сфере общественного порядка»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866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(в редакции постановлени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 администрации Белоярского района 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от 5 августа 2025 года №519, 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 декабря 2025 года №877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pStyle w:val="866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6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6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6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Белоярского района от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«О Перечне муниципальных программ Белоярского района» п о с т а н о в л я ю: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1. Утвердить прилагаемую муниципальную программу Белоярского района «Профилактика терроризма и правонарушений в сфере общественного порядка».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6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официального опубликования, но не ранее 1 января 2025 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Контроль за выполнением постановления возложить на начальника отдела по организации профилактики правонарушений администрации Белоярского района    Фомина В.А.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0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firstLine="0"/>
        <w:jc w:val="both"/>
        <w:rPr>
          <w:sz w:val="24"/>
          <w:szCs w:val="24"/>
        </w:rPr>
        <w:sectPr>
          <w:headerReference w:type="default" r:id="rId8"/>
          <w:headerReference w:type="first" r:id="rId9"/>
          <w:footnotePr/>
          <w:endnotePr/>
          <w:type w:val="nextPage"/>
          <w:pgSz w:w="11906" w:h="16838" w:orient="portrait"/>
          <w:pgMar w:top="426" w:right="850" w:bottom="1576" w:left="1701" w:header="708" w:footer="709" w:gutter="0"/>
          <w:cols w:num="1" w:sep="0" w:space="0" w:equalWidth="1"/>
          <w:docGrid w:linePitch="360"/>
          <w:titlePg/>
        </w:sect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С.П.</w:t>
      </w:r>
      <w:r>
        <w:rPr>
          <w:rFonts w:ascii="Times New Roman" w:hAnsi="Times New Roman" w:cs="Times New Roman"/>
          <w:sz w:val="24"/>
          <w:szCs w:val="24"/>
        </w:rPr>
        <w:t xml:space="preserve">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left="5381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УТВЕРЖДЕНА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6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6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6"/>
        <w:ind w:left="5382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5 декабря 2024 года № 838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«Профилактика терроризма и правонарушений в сфере общественного порядка»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ПАСПОРТ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Белоярского района 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«Профилактика терроризма и правонарушений в сфере общественного порядка»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0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center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1. Основные положения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tbl>
      <w:tblPr>
        <w:tblW w:w="15310" w:type="dxa"/>
        <w:tblInd w:w="-8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575"/>
        <w:gridCol w:w="77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Куратор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lang w:eastAsia="zh-CN" w:bidi="ar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Отдел по организации профилактики правонарушений  администрации Белоярского района (далее – ООПП)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реализации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bottom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 xml:space="preserve">2025-2030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Совершенствование системы профилактики терроризма, повышение уровня общественного порядка на территории Белоярского района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Направления (подпрограммы)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15 201,7</w:t>
            </w:r>
            <w:r>
              <w:rPr>
                <w:rFonts w:ascii="Times New Roman" w:hAnsi="Times New Roman"/>
              </w:rPr>
              <w:t xml:space="preserve"> т</w:t>
            </w:r>
            <w:r>
              <w:rPr>
                <w:rFonts w:ascii="Times New Roman" w:hAnsi="Times New Roman"/>
              </w:rPr>
              <w:t xml:space="preserve">ысяч рублей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 программа Ханты-Мансийского автономного округа - Югры «Безопасность жизнедеятельности и профилактика правонарушений»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Показатели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310" w:type="dxa"/>
        <w:tblInd w:w="-85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3"/>
        <w:gridCol w:w="2255"/>
        <w:gridCol w:w="1023"/>
        <w:gridCol w:w="907"/>
        <w:gridCol w:w="635"/>
        <w:gridCol w:w="709"/>
        <w:gridCol w:w="709"/>
        <w:gridCol w:w="709"/>
        <w:gridCol w:w="621"/>
        <w:gridCol w:w="658"/>
        <w:gridCol w:w="709"/>
        <w:gridCol w:w="2395"/>
        <w:gridCol w:w="1574"/>
        <w:gridCol w:w="1843"/>
      </w:tblGrid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N п/п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vMerge w:val="restart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Единица измерения (по ОКЕИ)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/>
            <w:bookmarkStart w:id="0" w:name="RANGE!D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/>
            <w:bookmarkStart w:id="1" w:name="RANGE!L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Документ</w:t>
            </w:r>
            <w:bookmarkEnd w:id="1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/>
            <w:bookmarkStart w:id="2" w:name="RANGE!M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Ответственный за достижение показателя</w:t>
            </w:r>
            <w:bookmarkEnd w:id="2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vMerge w:val="continue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vMerge w:val="continue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vMerge w:val="continue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0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Цель Совершенствование системы профилактики терроризма, повышение уровня общественного порядка на территории Белоярского района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5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5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285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283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280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275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270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Постановление Правительства ХМАО - Югры от 03.05.2024 №167-п «О мерах по реализации государственной программы Ханты-Мансийского автономного округа - Югры «Безопасность жизнедеятельности и профилактика правонарушений»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ООПП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8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Вовлеченность населения в незаконный оборот наркотиков (на 100 тысяч человек населения)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142,7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135,7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128,7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123,7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120,7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118,7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118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95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Распоряжение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Губернатора ХМАО - Югры от 15.04.2021 N 102-рг "О перечне приоритетных направлений (плане мероприятий) реализации Стратегии государственной антинаркотической политики Российской Федерации на период до 2030 года в Ханты-Мансийском автономном округе - Югре"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ООПП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513" w:type="dxa"/>
        <w:tblInd w:w="-9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5"/>
        <w:gridCol w:w="4069"/>
        <w:gridCol w:w="6096"/>
        <w:gridCol w:w="4643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ind w:left="-971" w:firstLine="9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Задачи структурного элемента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Связь с показателями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6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bottom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808" w:type="dxa"/>
            <w:vAlign w:val="bottom"/>
            <w:textDirection w:val="lrTb"/>
            <w:noWrap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Комплекс процессных мероприятий «Совершенствование системы профилактики терроризма и правонарушений в сфере общественного порядка»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bottom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ООПП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bottom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Участие в профилактике терроризма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Информационное сопровождение противодействия терроризму.</w:t>
              <w:br/>
              <w:t xml:space="preserve">Организаци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 и проведение мероприятий, посвященных памятной дате – «День солидарности в борьбе с терроризмом».</w:t>
              <w:br/>
              <w:t xml:space="preserve">Мониторинг состояния общественно-политических, социально-экономических и иных процессов, оказывающих влияние на ситуацию в сфере противодействия терроризму.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1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Совершенствование условий для обеспечения общественного порядка, в том числе с участием граждан, создание условий для деятельности народных дружин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Правовое просвещение и правовое информирование населения в сфере общественной безопасности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Правовое просвещение и правов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ое информирование населения в сфере общественной безопасности.</w:t>
              <w:br/>
              <w:t xml:space="preserve">Проведение информационной антинаркотической политики.</w:t>
              <w:br/>
              <w:t xml:space="preserve">Участие в профилактических мероприятиях, акциях, проводимых субъектами профилактики наркомании Ханты-Мансийского автономного округа - Югры.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Вовлеченность населения в незаконный оборот наркотиков (на 100 тысяч человек населения)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КДМФКиС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3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Формирование сознания молодёжи, направленное на осознанное неприятие потребления наркотических средств и психотропных веществ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и проведение спортивных мероприятий «Молодёжь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 наркотиков» с привлечением несовершеннолетних граждан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Вовлеченность населения в незаконный оборот наркотиков (на 100 тысяч человек населения)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 ООПП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35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Совершенствование материально-технического обеспечения охраны общественного порядка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функционирования и разви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тия  систем  видеонаблюдения.</w:t>
              <w:br/>
              <w:t xml:space="preserve">Приобретение и установка технических средств для обеспечения безопасности в местах с массовым пребыванием людей.</w:t>
              <w:br/>
              <w:t xml:space="preserve">Обеспечение функционирования  системы   видеонаблюдения, установленной в здании администрации Белоярского района.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Уровень преступности на улицах и в общественных местах  (число зарегистрированных преступлений на 100 тысяч человек населения)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8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bottom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bottom"/>
            <w:textDirection w:val="lrTb"/>
            <w:noWrap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Ответственный за реализацию:   ООПП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bottom"/>
            <w:textDirection w:val="lrTb"/>
            <w:noWrap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годы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bottom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2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Осуществление отдельного  государственного полномочия по созданию и обеспечению деятельности административных комиссий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Выполнение переданных отдельных государственных полномочий по созданию административных комиссий и определению перечня должностных лиц орга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«Об административных правонарушениях»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3" w:type="dxa"/>
            <w:vAlign w:val="center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center"/>
        <w:pageBreakBefore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Финансовое обеспечение муниципальной программы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277" w:type="dxa"/>
        <w:tblInd w:w="-718" w:type="dxa"/>
        <w:tblLayout w:type="fixed"/>
        <w:tblLook w:val="04A0" w:firstRow="1" w:lastRow="0" w:firstColumn="1" w:lastColumn="0" w:noHBand="0" w:noVBand="1"/>
      </w:tblPr>
      <w:tblGrid>
        <w:gridCol w:w="960"/>
        <w:gridCol w:w="7121"/>
        <w:gridCol w:w="1046"/>
        <w:gridCol w:w="1045"/>
        <w:gridCol w:w="1045"/>
        <w:gridCol w:w="974"/>
        <w:gridCol w:w="993"/>
        <w:gridCol w:w="992"/>
        <w:gridCol w:w="1101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6" w:type="dxa"/>
            <w:vAlign w:val="center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Объем финансового обеспечения по годам, тыс. рублей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2029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2030 год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center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center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2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Муниципальная программа «Профилактика терроризма и правонарушений в сфере общественного порядка»  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3 614,2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2 317,9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2 317,4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2 317,4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2 317,4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2 317,4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15 201,7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2 925,9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2 005,5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2 005,1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2 005,1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2 005,1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2 005,1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12 951,8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688,3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2 249,9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Объем налоговых расходов Белоярского района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справочно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8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«Совершенствование системы профилактики терроризма и правонарушений в сфере общественного порядка» (всего),  в том числе: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1 688,2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370,7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370,2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370,2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370,2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370,2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3 539,7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1 017,9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58,3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1 307,8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6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670,3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312,3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2 231,9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  <w:t xml:space="preserve">мероприятие (результат)  </w:t>
            </w: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  <w:t xml:space="preserve">Участие в профилактике терроризма</w:t>
            </w: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540,0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4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540,0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8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(результат)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434,9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8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58,3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57,9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347,8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4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87,1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8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(результат)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Правовое просвещение и правовое информирование населения в сфере общественной безопасности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8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(результат) «Организация и проведение спортивных мероприятий «Молодёжь против наркотиков»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960,0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960,0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960,0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960,0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8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1.5.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(результат)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Совершенствование материально-технического обеспечения охраны общественного порядка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535,8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1 424,8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535,8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177,8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1 424,8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8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Осуществление органами местного самоуправления отдельных государственных полномочий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br/>
              <w:t xml:space="preserve">(всего), в том числе: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1 926,0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11 662,0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5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1 908,0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11 644,0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18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48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(результат)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Осуществление отдельного  государственного полномочия по созданию и обеспечению деятельности административных комиссий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1 926,0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11 662,0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3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1 908,0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1 947,2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11 644,0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7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21" w:type="dxa"/>
            <w:vAlign w:val="bottom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6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045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74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01" w:type="dxa"/>
            <w:vAlign w:val="bottom"/>
            <w:textDirection w:val="lrTb"/>
            <w:noWrap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pStyle w:val="880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6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15376" w:type="dxa"/>
        <w:tblInd w:w="-7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405"/>
        <w:gridCol w:w="8028"/>
      </w:tblGrid>
      <w:tr>
        <w:tblPrEx/>
        <w:trPr/>
        <w:tc>
          <w:tcPr>
            <w:tcW w:w="29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мероприятия в соответствии с  разделом 4 паспорта муниципальной программы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75"/>
        </w:trPr>
        <w:tc>
          <w:tcPr>
            <w:tcW w:w="2943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vMerge w:val="restart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мероприятие «Участие в профилактике терроризма»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Информационное сопровождение противодействия терроризму. Мониторинг состояния общественно-политических, социально-экономических и иных процессов, оказывающих влияние на ситуацию в сфере противодействия терроризму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50"/>
        </w:trPr>
        <w:tc>
          <w:tcPr>
            <w:tcW w:w="294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440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8028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 и проведение мероприятий, посвящённых памятной дате – «День солидарности в борьбе с терроризмом»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96"/>
        </w:trPr>
        <w:tc>
          <w:tcPr>
            <w:tcW w:w="2943" w:type="dxa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мероприятие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«Оказание поддержки гражданам и их объединениям, участвующим в охране общественного порядка, создание условий для деятельности народных дружин»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i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 xml:space="preserve">Оказание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поддержки гражданам и их объединениям, участвующим в охране общественного порядка, приобретение жилетов с отличительной символикой, обеспечение удостоверениями народных дружинников (по мере необходимости)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610"/>
        </w:trPr>
        <w:tc>
          <w:tcPr>
            <w:tcW w:w="2943" w:type="dxa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«Правовое просвещение и правовое информирование населения в сфере общественной безопасности»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i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Информирование населения в сфере общественной безопасности, в том числе с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 xml:space="preserve"> использованием возможностей средств массовой информации 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584"/>
        </w:trPr>
        <w:tc>
          <w:tcPr>
            <w:tcW w:w="2943" w:type="dxa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мероприятие  «Организация и проведение спортивных мероприятия «Молодёжь против наркотиков»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Организация и проведение спортивных мероприятий по боксу, волейболу и пионерболу, лыжным видам спорта с привлечением несовершеннолетних граждан. Приобретение атрибутики с антинаркотическими логотипами.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42"/>
        </w:trPr>
        <w:tc>
          <w:tcPr>
            <w:tcW w:w="2943" w:type="dxa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Совершенствование материально-технического обеспечения охраны общественного порядка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i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функционирования и развития  систем  видеонаблюдения.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Приобретение и установка технических средств для обеспечения безопасности в местах с массовым пребыванием людей.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Обеспечение функционирования  системы   видеонаблюдения, установленной в здании администрации Белоярского района.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631"/>
        </w:trPr>
        <w:tc>
          <w:tcPr>
            <w:tcW w:w="2943" w:type="dxa"/>
            <w:textDirection w:val="lrTb"/>
            <w:noWrap w:val="false"/>
          </w:tcPr>
          <w:p>
            <w:pPr>
              <w:ind w:left="57" w:right="57"/>
              <w:jc w:val="center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4405" w:type="dxa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«Осуществление отдельного  государственного полномочия по созданию и обеспечению деятельности административных комиссий»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028" w:type="dxa"/>
            <w:vAlign w:val="center"/>
            <w:textDirection w:val="lrTb"/>
            <w:noWrap w:val="false"/>
          </w:tcPr>
          <w:p>
            <w:pPr>
              <w:ind w:left="57" w:right="57"/>
              <w:spacing w:after="0" w:afterAutospacing="0"/>
              <w:rPr>
                <w:rFonts w:ascii="Times New Roman" w:hAnsi="Times New Roman" w:cs="Times New Roman"/>
                <w:iCs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Обеспечение деятельности административной комиссии Белоярского района, создание условий для её деятельности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r>
          </w:p>
        </w:tc>
      </w:tr>
    </w:tbl>
    <w:p>
      <w:pPr>
        <w:pStyle w:val="8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right"/>
        <w:spacing w:after="0" w:line="24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margin">
                  <wp:posOffset>3818255</wp:posOffset>
                </wp:positionH>
                <wp:positionV relativeFrom="paragraph">
                  <wp:posOffset>20955</wp:posOffset>
                </wp:positionV>
                <wp:extent cx="1609725" cy="952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09724" cy="952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300.6pt,1.6pt" to="427.4pt,2.4pt" filled="f" strokecolor="#000000"/>
            </w:pict>
          </mc:Fallback>
        </mc:AlternateContent>
      </w:r>
      <w:r/>
    </w:p>
    <w:sectPr>
      <w:footnotePr/>
      <w:endnotePr/>
      <w:type w:val="nextPage"/>
      <w:pgSz w:w="16838" w:h="11906" w:orient="landscape"/>
      <w:pgMar w:top="1701" w:right="1134" w:bottom="850" w:left="157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5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</w:pPr>
    <w:r/>
    <w:r/>
  </w:p>
  <w:p>
    <w:pPr>
      <w:pStyle w:val="87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867">
    <w:name w:val="Заголовок 1"/>
    <w:basedOn w:val="866"/>
    <w:next w:val="866"/>
    <w:link w:val="866"/>
    <w:qFormat/>
    <w:pPr>
      <w:jc w:val="center"/>
      <w:keepNext/>
      <w:outlineLvl w:val="0"/>
    </w:pPr>
    <w:rPr>
      <w:b/>
      <w:sz w:val="28"/>
    </w:rPr>
  </w:style>
  <w:style w:type="paragraph" w:styleId="868">
    <w:name w:val="Заголовок 2"/>
    <w:basedOn w:val="866"/>
    <w:next w:val="866"/>
    <w:link w:val="866"/>
    <w:qFormat/>
    <w:pPr>
      <w:jc w:val="center"/>
      <w:keepNext/>
      <w:outlineLvl w:val="1"/>
    </w:pPr>
    <w:rPr>
      <w:b/>
      <w:sz w:val="24"/>
    </w:rPr>
  </w:style>
  <w:style w:type="paragraph" w:styleId="869">
    <w:name w:val="Заголовок 3"/>
    <w:basedOn w:val="866"/>
    <w:next w:val="866"/>
    <w:link w:val="866"/>
    <w:qFormat/>
    <w:pPr>
      <w:jc w:val="center"/>
      <w:keepNext/>
      <w:outlineLvl w:val="2"/>
    </w:pPr>
    <w:rPr>
      <w:sz w:val="28"/>
    </w:rPr>
  </w:style>
  <w:style w:type="character" w:styleId="870">
    <w:name w:val="Основной шрифт абзаца"/>
    <w:next w:val="870"/>
    <w:link w:val="866"/>
    <w:uiPriority w:val="1"/>
    <w:semiHidden/>
    <w:unhideWhenUsed/>
  </w:style>
  <w:style w:type="table" w:styleId="871">
    <w:name w:val="Обычная таблица"/>
    <w:next w:val="871"/>
    <w:link w:val="866"/>
    <w:uiPriority w:val="99"/>
    <w:semiHidden/>
    <w:unhideWhenUsed/>
    <w:tblPr/>
  </w:style>
  <w:style w:type="numbering" w:styleId="872">
    <w:name w:val="Нет списка"/>
    <w:next w:val="872"/>
    <w:link w:val="866"/>
    <w:uiPriority w:val="99"/>
    <w:semiHidden/>
    <w:unhideWhenUsed/>
  </w:style>
  <w:style w:type="character" w:styleId="873">
    <w:name w:val="Знак сноски"/>
    <w:next w:val="873"/>
    <w:link w:val="866"/>
    <w:uiPriority w:val="99"/>
    <w:unhideWhenUsed/>
    <w:qFormat/>
    <w:rPr>
      <w:vertAlign w:val="superscript"/>
    </w:rPr>
  </w:style>
  <w:style w:type="paragraph" w:styleId="874">
    <w:name w:val="Текст выноски"/>
    <w:basedOn w:val="866"/>
    <w:next w:val="874"/>
    <w:link w:val="8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75">
    <w:name w:val="Основной текст с отступом 3"/>
    <w:basedOn w:val="866"/>
    <w:next w:val="875"/>
    <w:link w:val="866"/>
    <w:qFormat/>
    <w:pPr>
      <w:jc w:val="center"/>
    </w:pPr>
    <w:rPr>
      <w:sz w:val="24"/>
    </w:rPr>
  </w:style>
  <w:style w:type="paragraph" w:styleId="876">
    <w:name w:val="Текст концевой сноски"/>
    <w:basedOn w:val="866"/>
    <w:next w:val="876"/>
    <w:link w:val="882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877">
    <w:name w:val="Текст сноски"/>
    <w:basedOn w:val="866"/>
    <w:next w:val="877"/>
    <w:link w:val="883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878">
    <w:name w:val="Верхний колонтитул"/>
    <w:basedOn w:val="866"/>
    <w:next w:val="878"/>
    <w:link w:val="885"/>
    <w:uiPriority w:val="99"/>
    <w:unhideWhenUsed/>
    <w:pPr>
      <w:tabs>
        <w:tab w:val="center" w:pos="4153" w:leader="none"/>
        <w:tab w:val="right" w:pos="8306" w:leader="none"/>
      </w:tabs>
    </w:pPr>
  </w:style>
  <w:style w:type="paragraph" w:styleId="879">
    <w:name w:val="Нижний колонтитул"/>
    <w:basedOn w:val="866"/>
    <w:next w:val="879"/>
    <w:link w:val="886"/>
    <w:uiPriority w:val="99"/>
    <w:unhideWhenUsed/>
    <w:qFormat/>
    <w:pPr>
      <w:tabs>
        <w:tab w:val="center" w:pos="4153" w:leader="none"/>
        <w:tab w:val="right" w:pos="8306" w:leader="none"/>
      </w:tabs>
    </w:pPr>
  </w:style>
  <w:style w:type="paragraph" w:styleId="880">
    <w:name w:val="ConsPlusNormal"/>
    <w:next w:val="880"/>
    <w:link w:val="866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1">
    <w:name w:val="ConsPlusNonformat"/>
    <w:next w:val="881"/>
    <w:link w:val="866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82">
    <w:name w:val="Текст концевой сноски Знак"/>
    <w:next w:val="882"/>
    <w:link w:val="876"/>
    <w:uiPriority w:val="99"/>
    <w:qFormat/>
    <w:rPr>
      <w:rFonts w:ascii="Calibri" w:hAnsi="Calibri" w:eastAsia="Calibri" w:cs="Times New Roman"/>
      <w:sz w:val="20"/>
      <w:szCs w:val="20"/>
    </w:rPr>
  </w:style>
  <w:style w:type="character" w:styleId="883">
    <w:name w:val="Текст сноски Знак"/>
    <w:next w:val="883"/>
    <w:link w:val="877"/>
    <w:uiPriority w:val="99"/>
    <w:qFormat/>
    <w:rPr>
      <w:rFonts w:ascii="Calibri" w:hAnsi="Calibri" w:eastAsia="Calibri" w:cs="Times New Roman"/>
      <w:sz w:val="20"/>
      <w:szCs w:val="20"/>
    </w:rPr>
  </w:style>
  <w:style w:type="character" w:styleId="884">
    <w:name w:val="Текст выноски Знак"/>
    <w:next w:val="884"/>
    <w:link w:val="874"/>
    <w:uiPriority w:val="99"/>
    <w:semiHidden/>
    <w:qFormat/>
    <w:rPr>
      <w:rFonts w:ascii="Tahoma" w:hAnsi="Tahoma" w:eastAsia="Calibri" w:cs="Tahoma"/>
      <w:sz w:val="16"/>
      <w:szCs w:val="16"/>
      <w:lang w:eastAsia="en-US"/>
    </w:rPr>
  </w:style>
  <w:style w:type="character" w:styleId="885">
    <w:name w:val="Верхний колонтитул Знак"/>
    <w:next w:val="885"/>
    <w:link w:val="878"/>
    <w:uiPriority w:val="99"/>
    <w:qFormat/>
    <w:rPr>
      <w:rFonts w:ascii="Calibri" w:hAnsi="Calibri" w:eastAsia="Calibri"/>
      <w:sz w:val="22"/>
      <w:szCs w:val="22"/>
      <w:lang w:eastAsia="en-US"/>
    </w:rPr>
  </w:style>
  <w:style w:type="character" w:styleId="886">
    <w:name w:val="Нижний колонтитул Знак"/>
    <w:next w:val="886"/>
    <w:link w:val="879"/>
    <w:uiPriority w:val="99"/>
    <w:qFormat/>
    <w:rPr>
      <w:rFonts w:ascii="Calibri" w:hAnsi="Calibri" w:eastAsia="Calibri"/>
      <w:sz w:val="22"/>
      <w:szCs w:val="22"/>
      <w:lang w:eastAsia="en-US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KononenkoOE</cp:lastModifiedBy>
  <cp:revision>4</cp:revision>
  <dcterms:created xsi:type="dcterms:W3CDTF">2024-12-05T10:06:00Z</dcterms:created>
  <dcterms:modified xsi:type="dcterms:W3CDTF">2025-12-25T11:18:51Z</dcterms:modified>
  <cp:version>1048576</cp:version>
</cp:coreProperties>
</file>