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spacing w:line="276" w:lineRule="auto"/>
      </w:pPr>
      <w:r>
        <w:t xml:space="preserve">Утвержден</w:t>
      </w:r>
      <w:r>
        <w:t xml:space="preserve"> пунктом 1.2 протокола заседания</w:t>
      </w:r>
      <w:r/>
    </w:p>
    <w:p>
      <w:pPr>
        <w:jc w:val="right"/>
        <w:spacing w:line="276" w:lineRule="auto"/>
      </w:pPr>
      <w:r>
        <w:t xml:space="preserve">Антинаркотической комиссии </w:t>
      </w:r>
      <w:r>
        <w:br/>
        <w:t xml:space="preserve">Ханты-Мансийского автономного округа – Югры </w:t>
      </w:r>
      <w:r/>
    </w:p>
    <w:p>
      <w:pPr>
        <w:jc w:val="right"/>
        <w:spacing w:line="276" w:lineRule="auto"/>
      </w:pPr>
      <w:r>
        <w:t xml:space="preserve">от «18» марта 202</w:t>
      </w:r>
      <w:r>
        <w:t xml:space="preserve">5</w:t>
      </w:r>
      <w:r>
        <w:t xml:space="preserve"> года № 1</w:t>
      </w:r>
      <w:r/>
    </w:p>
    <w:p>
      <w:pPr>
        <w:spacing w:line="276" w:lineRule="auto"/>
        <w:tabs>
          <w:tab w:val="left" w:pos="5900" w:leader="none"/>
        </w:tabs>
        <w:rPr>
          <w:b/>
        </w:rPr>
      </w:pPr>
      <w:r>
        <w:rPr>
          <w:b/>
        </w:rPr>
        <w:tab/>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spacing w:line="276" w:lineRule="auto"/>
        <w:tabs>
          <w:tab w:val="left" w:pos="5620" w:leader="none"/>
        </w:tabs>
        <w:rPr>
          <w:b/>
        </w:rPr>
      </w:pPr>
      <w:r>
        <w:rPr>
          <w:b/>
        </w:rPr>
        <w:tab/>
      </w:r>
      <w:r>
        <w:rPr>
          <w:b/>
        </w:rPr>
      </w:r>
      <w:r>
        <w:rPr>
          <w:b/>
        </w:rPr>
      </w:r>
    </w:p>
    <w:p>
      <w:pPr>
        <w:ind w:firstLine="0"/>
        <w:jc w:val="center"/>
        <w:spacing w:line="276" w:lineRule="auto"/>
        <w:rPr>
          <w:b/>
        </w:rPr>
      </w:pPr>
      <w:r>
        <w:rPr>
          <w:b/>
        </w:rPr>
      </w:r>
      <w:r>
        <w:rPr>
          <w:b/>
        </w:rPr>
      </w:r>
      <w:r>
        <w:rPr>
          <w:b/>
        </w:rPr>
      </w:r>
    </w:p>
    <w:p>
      <w:pPr>
        <w:ind w:firstLine="0"/>
        <w:jc w:val="center"/>
        <w:spacing w:line="276" w:lineRule="auto"/>
        <w:rPr>
          <w:sz w:val="36"/>
          <w:szCs w:val="36"/>
        </w:rPr>
      </w:pPr>
      <w:r>
        <w:rPr>
          <w:sz w:val="36"/>
          <w:szCs w:val="36"/>
        </w:rPr>
      </w:r>
      <w:r>
        <w:rPr>
          <w:sz w:val="36"/>
          <w:szCs w:val="36"/>
        </w:rPr>
      </w:r>
      <w:r>
        <w:rPr>
          <w:sz w:val="36"/>
          <w:szCs w:val="36"/>
        </w:rPr>
      </w:r>
    </w:p>
    <w:p>
      <w:pPr>
        <w:ind w:firstLine="0"/>
        <w:jc w:val="center"/>
        <w:spacing w:line="276" w:lineRule="auto"/>
        <w:rPr>
          <w:sz w:val="36"/>
          <w:szCs w:val="36"/>
        </w:rPr>
      </w:pPr>
      <w:r>
        <w:rPr>
          <w:sz w:val="36"/>
          <w:szCs w:val="36"/>
        </w:rPr>
      </w:r>
      <w:r>
        <w:rPr>
          <w:sz w:val="36"/>
          <w:szCs w:val="36"/>
        </w:rPr>
      </w:r>
      <w:r>
        <w:rPr>
          <w:sz w:val="36"/>
          <w:szCs w:val="36"/>
        </w:rPr>
      </w:r>
    </w:p>
    <w:p>
      <w:pPr>
        <w:ind w:firstLine="0"/>
        <w:jc w:val="center"/>
        <w:spacing w:line="276" w:lineRule="auto"/>
        <w:rPr>
          <w:sz w:val="36"/>
          <w:szCs w:val="36"/>
        </w:rPr>
      </w:pPr>
      <w:r>
        <w:rPr>
          <w:sz w:val="36"/>
          <w:szCs w:val="36"/>
        </w:rPr>
      </w:r>
      <w:r>
        <w:rPr>
          <w:sz w:val="36"/>
          <w:szCs w:val="36"/>
        </w:rPr>
      </w:r>
      <w:r>
        <w:rPr>
          <w:sz w:val="36"/>
          <w:szCs w:val="36"/>
        </w:rPr>
      </w:r>
    </w:p>
    <w:p>
      <w:pPr>
        <w:pStyle w:val="1644"/>
        <w:jc w:val="center"/>
        <w:spacing w:before="0"/>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r>
      <w:r>
        <w:rPr>
          <w:rFonts w:ascii="Times New Roman" w:hAnsi="Times New Roman"/>
          <w:sz w:val="48"/>
          <w:szCs w:val="48"/>
        </w:rPr>
        <w:t xml:space="preserve">о наркоситуации</w:t>
      </w:r>
      <w:r>
        <w:rPr>
          <w:rFonts w:ascii="Times New Roman" w:hAnsi="Times New Roman"/>
          <w:sz w:val="48"/>
          <w:szCs w:val="48"/>
        </w:rPr>
        <w:t xml:space="preserve"> </w:t>
      </w:r>
      <w:r>
        <w:rPr>
          <w:rFonts w:ascii="Times New Roman" w:hAnsi="Times New Roman"/>
          <w:sz w:val="48"/>
          <w:szCs w:val="48"/>
        </w:rPr>
      </w:r>
      <w:r>
        <w:rPr>
          <w:rFonts w:ascii="Times New Roman" w:hAnsi="Times New Roman"/>
          <w:sz w:val="48"/>
          <w:szCs w:val="48"/>
        </w:rPr>
      </w:r>
    </w:p>
    <w:p>
      <w:pPr>
        <w:pStyle w:val="1644"/>
        <w:jc w:val="center"/>
        <w:spacing w:before="0"/>
        <w:rPr>
          <w:rFonts w:ascii="Times New Roman" w:hAnsi="Times New Roman"/>
          <w:sz w:val="48"/>
          <w:szCs w:val="48"/>
        </w:rPr>
      </w:pPr>
      <w:r>
        <w:rPr>
          <w:rFonts w:ascii="Times New Roman" w:hAnsi="Times New Roman"/>
          <w:sz w:val="48"/>
          <w:szCs w:val="48"/>
        </w:rPr>
        <w:t xml:space="preserve">в</w:t>
      </w:r>
      <w:r>
        <w:rPr>
          <w:rFonts w:ascii="Times New Roman" w:hAnsi="Times New Roman"/>
          <w:sz w:val="48"/>
          <w:szCs w:val="48"/>
        </w:rPr>
        <w:t xml:space="preserve"> </w:t>
      </w:r>
      <w:r>
        <w:rPr>
          <w:rFonts w:ascii="Times New Roman" w:hAnsi="Times New Roman"/>
          <w:sz w:val="48"/>
          <w:szCs w:val="48"/>
        </w:rPr>
        <w:t xml:space="preserve">Ханты-Мансийском</w:t>
      </w:r>
      <w:r>
        <w:rPr>
          <w:rFonts w:ascii="Times New Roman" w:hAnsi="Times New Roman"/>
          <w:sz w:val="48"/>
          <w:szCs w:val="48"/>
        </w:rPr>
        <w:br/>
      </w:r>
      <w:r>
        <w:rPr>
          <w:rFonts w:ascii="Times New Roman" w:hAnsi="Times New Roman"/>
          <w:sz w:val="48"/>
          <w:szCs w:val="48"/>
        </w:rPr>
        <w:t xml:space="preserve">автономном округе – Югре</w:t>
      </w:r>
      <w:r>
        <w:rPr>
          <w:rFonts w:ascii="Times New Roman" w:hAnsi="Times New Roman"/>
          <w:sz w:val="48"/>
          <w:szCs w:val="48"/>
        </w:rPr>
        <w:br/>
      </w:r>
      <w:r>
        <w:rPr>
          <w:rFonts w:ascii="Times New Roman" w:hAnsi="Times New Roman"/>
          <w:sz w:val="48"/>
          <w:szCs w:val="48"/>
        </w:rPr>
        <w:t xml:space="preserve">в 202</w:t>
      </w:r>
      <w:r>
        <w:rPr>
          <w:rFonts w:ascii="Times New Roman" w:hAnsi="Times New Roman"/>
          <w:sz w:val="48"/>
          <w:szCs w:val="48"/>
        </w:rPr>
        <w:t xml:space="preserve">4</w:t>
      </w:r>
      <w:r>
        <w:rPr>
          <w:rFonts w:ascii="Times New Roman" w:hAnsi="Times New Roman"/>
          <w:sz w:val="48"/>
          <w:szCs w:val="48"/>
        </w:rPr>
        <w:t xml:space="preserve"> году</w:t>
      </w:r>
      <w:r>
        <w:rPr>
          <w:rFonts w:ascii="Times New Roman" w:hAnsi="Times New Roman"/>
          <w:sz w:val="48"/>
          <w:szCs w:val="48"/>
        </w:rPr>
      </w:r>
      <w:r>
        <w:rPr>
          <w:rFonts w:ascii="Times New Roman" w:hAnsi="Times New Roman"/>
          <w:sz w:val="48"/>
          <w:szCs w:val="48"/>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rPr>
          <w:b/>
        </w:rPr>
      </w:pPr>
      <w:r>
        <w:rPr>
          <w:b/>
        </w:rPr>
      </w:r>
      <w:r>
        <w:rPr>
          <w:b/>
        </w:rPr>
      </w:r>
      <w:r>
        <w:rPr>
          <w:b/>
        </w:rPr>
      </w:r>
    </w:p>
    <w:p>
      <w:pPr>
        <w:ind w:firstLine="0"/>
        <w:jc w:val="center"/>
        <w:spacing w:line="276" w:lineRule="auto"/>
      </w:pPr>
      <w:r>
        <w:t xml:space="preserve">г. Ханты-Мансийск</w:t>
      </w:r>
      <w:r/>
    </w:p>
    <w:p>
      <w:pPr>
        <w:ind w:firstLine="0"/>
        <w:jc w:val="center"/>
        <w:spacing w:line="276" w:lineRule="auto"/>
      </w:pPr>
      <w:r>
        <w:t xml:space="preserve">202</w:t>
      </w:r>
      <w:r>
        <w:t xml:space="preserve">5</w:t>
      </w:r>
      <w:r/>
    </w:p>
    <w:p>
      <w:pPr>
        <w:ind w:firstLine="0"/>
        <w:jc w:val="center"/>
        <w:spacing w:line="276" w:lineRule="auto"/>
        <w:rPr>
          <w:b/>
          <w:highlight w:val="yellow"/>
        </w:rPr>
        <w:sectPr>
          <w:footerReference w:type="default" r:id="rId15"/>
          <w:footnotePr/>
          <w:endnotePr/>
          <w:type w:val="nextPage"/>
          <w:pgSz w:w="11906" w:h="16838" w:orient="portrait"/>
          <w:pgMar w:top="1134" w:right="851" w:bottom="1134" w:left="1701" w:header="709" w:footer="709" w:gutter="0"/>
          <w:cols w:num="1" w:sep="0" w:space="708" w:equalWidth="1"/>
          <w:docGrid w:linePitch="360"/>
          <w:titlePg/>
        </w:sectPr>
      </w:pPr>
      <w:r>
        <w:rPr>
          <w:b/>
          <w:highlight w:val="yellow"/>
        </w:rPr>
      </w:r>
      <w:r>
        <w:rPr>
          <w:b/>
          <w:highlight w:val="yellow"/>
        </w:rPr>
      </w:r>
      <w:r>
        <w:rPr>
          <w:b/>
          <w:highlight w:val="yellow"/>
        </w:rPr>
      </w:r>
    </w:p>
    <w:p>
      <w:pPr>
        <w:ind w:firstLine="0"/>
        <w:jc w:val="center"/>
        <w:spacing w:line="276" w:lineRule="auto"/>
        <w:rPr>
          <w:b/>
        </w:rPr>
      </w:pPr>
      <w:r>
        <w:rPr>
          <w:b/>
        </w:rPr>
        <w:t xml:space="preserve">ОГЛАВЛЕНИЕ</w:t>
      </w:r>
      <w:r>
        <w:rPr>
          <w:b/>
        </w:rPr>
      </w:r>
      <w:r>
        <w:rPr>
          <w:b/>
        </w:rPr>
      </w:r>
    </w:p>
    <w:p>
      <w:pPr>
        <w:jc w:val="center"/>
        <w:spacing w:line="276" w:lineRule="auto"/>
        <w:rPr>
          <w:b/>
        </w:rPr>
      </w:pPr>
      <w:r>
        <w:rPr>
          <w:b/>
        </w:rPr>
      </w:r>
      <w:r>
        <w:rPr>
          <w:b/>
        </w:rPr>
      </w:r>
      <w:r>
        <w:rPr>
          <w:b/>
        </w:rPr>
      </w:r>
    </w:p>
    <w:tbl>
      <w:tblPr>
        <w:tblStyle w:val="1651"/>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8505"/>
        <w:gridCol w:w="839"/>
      </w:tblGrid>
      <w:tr>
        <w:trPr/>
        <w:tc>
          <w:tcPr>
            <w:tcW w:w="8505" w:type="dxa"/>
            <w:textDirection w:val="lrTb"/>
            <w:noWrap w:val="false"/>
          </w:tcPr>
          <w:p>
            <w:pPr>
              <w:ind w:firstLine="0"/>
              <w:jc w:val="left"/>
              <w:spacing w:before="120" w:line="276" w:lineRule="auto"/>
              <w:rPr>
                <w:b/>
              </w:rPr>
            </w:pPr>
            <w:r>
              <w:t xml:space="preserve">ВВЕДЕНИЕ</w:t>
            </w:r>
            <w:r>
              <w:rPr>
                <w:b/>
              </w:rPr>
            </w:r>
            <w:r>
              <w:rPr>
                <w:b/>
              </w:rPr>
            </w:r>
          </w:p>
        </w:tc>
        <w:tc>
          <w:tcPr>
            <w:tcW w:w="839" w:type="dxa"/>
            <w:textDirection w:val="lrTb"/>
            <w:noWrap w:val="false"/>
          </w:tcPr>
          <w:p>
            <w:pPr>
              <w:ind w:firstLine="0"/>
              <w:jc w:val="right"/>
              <w:spacing w:before="120" w:line="276" w:lineRule="auto"/>
            </w:pPr>
            <w:r>
              <w:t xml:space="preserve">3</w:t>
            </w:r>
            <w:r/>
          </w:p>
        </w:tc>
      </w:tr>
      <w:tr>
        <w:trPr/>
        <w:tc>
          <w:tcPr>
            <w:tcW w:w="8505" w:type="dxa"/>
            <w:textDirection w:val="lrTb"/>
            <w:noWrap w:val="false"/>
          </w:tcPr>
          <w:p>
            <w:pPr>
              <w:ind w:firstLine="0"/>
              <w:jc w:val="left"/>
              <w:spacing w:before="120" w:line="276" w:lineRule="auto"/>
            </w:pPr>
            <w:r>
              <w:t xml:space="preserve">1. Характеристика Ханты-Мансийского автономного округа – Югры</w:t>
            </w:r>
            <w:r/>
          </w:p>
        </w:tc>
        <w:tc>
          <w:tcPr>
            <w:tcW w:w="839" w:type="dxa"/>
            <w:textDirection w:val="lrTb"/>
            <w:noWrap w:val="false"/>
          </w:tcPr>
          <w:p>
            <w:pPr>
              <w:ind w:firstLine="0"/>
              <w:jc w:val="right"/>
              <w:spacing w:before="120" w:line="276" w:lineRule="auto"/>
            </w:pPr>
            <w:r>
              <w:t xml:space="preserve">4</w:t>
            </w:r>
            <w:r/>
          </w:p>
        </w:tc>
      </w:tr>
      <w:tr>
        <w:trPr/>
        <w:tc>
          <w:tcPr>
            <w:tcW w:w="8505" w:type="dxa"/>
            <w:textDirection w:val="lrTb"/>
            <w:noWrap w:val="false"/>
          </w:tcPr>
          <w:p>
            <w:pPr>
              <w:ind w:firstLine="0"/>
              <w:spacing w:before="120" w:line="276" w:lineRule="auto"/>
            </w:pPr>
            <w: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p>
        </w:tc>
        <w:tc>
          <w:tcPr>
            <w:tcW w:w="839" w:type="dxa"/>
            <w:textDirection w:val="lrTb"/>
            <w:noWrap w:val="false"/>
          </w:tcPr>
          <w:p>
            <w:pPr>
              <w:ind w:firstLine="0"/>
              <w:jc w:val="right"/>
              <w:spacing w:before="120" w:line="276" w:lineRule="auto"/>
            </w:pPr>
            <w:r>
              <w:t xml:space="preserve">2</w:t>
            </w:r>
            <w:r>
              <w:t xml:space="preserve">0</w:t>
            </w:r>
            <w:r/>
          </w:p>
        </w:tc>
      </w:tr>
      <w:tr>
        <w:trPr/>
        <w:tc>
          <w:tcPr>
            <w:tcW w:w="8505" w:type="dxa"/>
            <w:textDirection w:val="lrTb"/>
            <w:noWrap w:val="false"/>
          </w:tcPr>
          <w:p>
            <w:pPr>
              <w:ind w:firstLine="0"/>
              <w:spacing w:before="120" w:line="276" w:lineRule="auto"/>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tc>
        <w:tc>
          <w:tcPr>
            <w:tcW w:w="839" w:type="dxa"/>
            <w:textDirection w:val="lrTb"/>
            <w:noWrap w:val="false"/>
          </w:tcPr>
          <w:p>
            <w:pPr>
              <w:ind w:firstLine="0"/>
              <w:jc w:val="right"/>
              <w:spacing w:before="120" w:line="276" w:lineRule="auto"/>
            </w:pPr>
            <w:r>
              <w:t xml:space="preserve">68</w:t>
            </w:r>
            <w:r/>
          </w:p>
        </w:tc>
      </w:tr>
      <w:tr>
        <w:trPr/>
        <w:tc>
          <w:tcPr>
            <w:tcW w:w="8505" w:type="dxa"/>
            <w:textDirection w:val="lrTb"/>
            <w:noWrap w:val="false"/>
          </w:tcPr>
          <w:p>
            <w:pPr>
              <w:ind w:firstLine="0"/>
              <w:spacing w:before="120" w:line="276" w:lineRule="auto"/>
              <w:outlineLvl w:val="1"/>
            </w:pPr>
            <w:r>
              <w:t xml:space="preserve">4. Анализ, оценка и динамика результатов деятельности в сфере профилактики потребления наркотиков в немедицинских целях</w:t>
            </w:r>
            <w:r/>
          </w:p>
        </w:tc>
        <w:tc>
          <w:tcPr>
            <w:tcW w:w="839" w:type="dxa"/>
            <w:textDirection w:val="lrTb"/>
            <w:noWrap w:val="false"/>
          </w:tcPr>
          <w:p>
            <w:pPr>
              <w:ind w:firstLine="0"/>
              <w:jc w:val="right"/>
              <w:spacing w:before="120" w:line="276" w:lineRule="auto"/>
            </w:pPr>
            <w:r>
              <w:t xml:space="preserve">78</w:t>
            </w:r>
            <w:r/>
          </w:p>
        </w:tc>
      </w:tr>
      <w:tr>
        <w:trPr/>
        <w:tc>
          <w:tcPr>
            <w:tcW w:w="8505" w:type="dxa"/>
            <w:textDirection w:val="lrTb"/>
            <w:noWrap w:val="false"/>
          </w:tcPr>
          <w:p>
            <w:pPr>
              <w:ind w:firstLine="0"/>
              <w:spacing w:before="120" w:line="276" w:lineRule="auto"/>
              <w:outlineLvl w:val="1"/>
            </w:pPr>
            <w:r>
              <w:t xml:space="preserve">5. Анализ, оценка и динамика ситуации в сфере противодействия незаконному обороту наркотиков</w:t>
            </w:r>
            <w:r/>
          </w:p>
        </w:tc>
        <w:tc>
          <w:tcPr>
            <w:tcW w:w="839" w:type="dxa"/>
            <w:textDirection w:val="lrTb"/>
            <w:noWrap w:val="false"/>
          </w:tcPr>
          <w:p>
            <w:pPr>
              <w:ind w:firstLine="0"/>
              <w:jc w:val="right"/>
              <w:spacing w:before="120" w:line="276" w:lineRule="auto"/>
            </w:pPr>
            <w:r>
              <w:t xml:space="preserve">93</w:t>
            </w:r>
            <w:r/>
          </w:p>
        </w:tc>
      </w:tr>
      <w:tr>
        <w:trPr/>
        <w:tc>
          <w:tcPr>
            <w:tcW w:w="8505" w:type="dxa"/>
            <w:textDirection w:val="lrTb"/>
            <w:noWrap w:val="false"/>
          </w:tcPr>
          <w:p>
            <w:pPr>
              <w:ind w:firstLine="0"/>
              <w:spacing w:before="120" w:line="276" w:lineRule="auto"/>
              <w:outlineLvl w:val="1"/>
            </w:pPr>
            <w: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p>
        </w:tc>
        <w:tc>
          <w:tcPr>
            <w:tcW w:w="839" w:type="dxa"/>
            <w:textDirection w:val="lrTb"/>
            <w:noWrap w:val="false"/>
          </w:tcPr>
          <w:p>
            <w:pPr>
              <w:ind w:firstLine="0"/>
              <w:jc w:val="right"/>
              <w:spacing w:before="120" w:line="276" w:lineRule="auto"/>
            </w:pPr>
            <w:r>
              <w:t xml:space="preserve">109</w:t>
            </w:r>
            <w:r/>
          </w:p>
        </w:tc>
      </w:tr>
      <w:tr>
        <w:trPr/>
        <w:tc>
          <w:tcPr>
            <w:tcW w:w="8505" w:type="dxa"/>
            <w:textDirection w:val="lrTb"/>
            <w:noWrap w:val="false"/>
          </w:tcPr>
          <w:p>
            <w:pPr>
              <w:ind w:firstLine="0"/>
              <w:spacing w:before="120" w:line="276" w:lineRule="auto"/>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tc>
        <w:tc>
          <w:tcPr>
            <w:tcW w:w="839" w:type="dxa"/>
            <w:textDirection w:val="lrTb"/>
            <w:noWrap w:val="false"/>
          </w:tcPr>
          <w:p>
            <w:pPr>
              <w:ind w:firstLine="0"/>
              <w:jc w:val="right"/>
              <w:spacing w:before="120" w:line="276" w:lineRule="auto"/>
            </w:pPr>
            <w:r>
              <w:t xml:space="preserve">120</w:t>
            </w:r>
            <w:r/>
          </w:p>
        </w:tc>
      </w:tr>
      <w:tr>
        <w:trPr/>
        <w:tc>
          <w:tcPr>
            <w:tcW w:w="8505" w:type="dxa"/>
            <w:textDirection w:val="lrTb"/>
            <w:noWrap w:val="false"/>
          </w:tcPr>
          <w:p>
            <w:pPr>
              <w:ind w:firstLine="0"/>
              <w:spacing w:before="120" w:line="276" w:lineRule="auto"/>
              <w:outlineLvl w:val="1"/>
            </w:pPr>
            <w: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p>
        </w:tc>
        <w:tc>
          <w:tcPr>
            <w:tcW w:w="839" w:type="dxa"/>
            <w:textDirection w:val="lrTb"/>
            <w:noWrap w:val="false"/>
          </w:tcPr>
          <w:p>
            <w:pPr>
              <w:ind w:firstLine="0"/>
              <w:jc w:val="right"/>
              <w:spacing w:before="120" w:line="276" w:lineRule="auto"/>
            </w:pPr>
            <w:r>
              <w:t xml:space="preserve">137</w:t>
            </w:r>
            <w:r/>
          </w:p>
        </w:tc>
      </w:tr>
      <w:tr>
        <w:trPr/>
        <w:tc>
          <w:tcPr>
            <w:tcW w:w="8505" w:type="dxa"/>
            <w:textDirection w:val="lrTb"/>
            <w:noWrap w:val="false"/>
          </w:tcPr>
          <w:p>
            <w:pPr>
              <w:ind w:firstLine="0"/>
              <w:spacing w:before="120" w:line="276" w:lineRule="auto"/>
              <w:outlineLvl w:val="1"/>
            </w:pPr>
            <w:r>
              <w:t xml:space="preserve">9. Краткосрочное (1 год) прогнозирование развития наркоситуации</w:t>
            </w:r>
            <w:r/>
          </w:p>
        </w:tc>
        <w:tc>
          <w:tcPr>
            <w:tcW w:w="839" w:type="dxa"/>
            <w:textDirection w:val="lrTb"/>
            <w:noWrap w:val="false"/>
          </w:tcPr>
          <w:p>
            <w:pPr>
              <w:ind w:firstLine="0"/>
              <w:jc w:val="right"/>
              <w:spacing w:before="120" w:line="276" w:lineRule="auto"/>
            </w:pPr>
            <w:r>
              <w:t xml:space="preserve">152</w:t>
            </w:r>
            <w:r/>
          </w:p>
        </w:tc>
      </w:tr>
      <w:tr>
        <w:trPr/>
        <w:tc>
          <w:tcPr>
            <w:tcW w:w="8505" w:type="dxa"/>
            <w:textDirection w:val="lrTb"/>
            <w:noWrap w:val="false"/>
          </w:tcPr>
          <w:p>
            <w:pPr>
              <w:pStyle w:val="1649"/>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по оздоровлению наркоситуации в автономном округе и в Российской Федерации в целом</w:t>
            </w:r>
            <w:r>
              <w:rPr>
                <w:rFonts w:ascii="Times New Roman" w:hAnsi="Times New Roman" w:cs="Times New Roman"/>
                <w:sz w:val="28"/>
                <w:szCs w:val="28"/>
              </w:rPr>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156</w:t>
            </w:r>
            <w:r/>
          </w:p>
        </w:tc>
      </w:tr>
      <w:tr>
        <w:trPr/>
        <w:tc>
          <w:tcPr>
            <w:tcW w:w="8505" w:type="dxa"/>
            <w:textDirection w:val="lrTb"/>
            <w:noWrap w:val="false"/>
          </w:tcPr>
          <w:p>
            <w:pPr>
              <w:pStyle w:val="1649"/>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ПРИЛОЖЕНИЯ</w:t>
            </w:r>
            <w:r>
              <w:rPr>
                <w:rFonts w:ascii="Times New Roman" w:hAnsi="Times New Roman" w:cs="Times New Roman"/>
                <w:sz w:val="28"/>
                <w:szCs w:val="28"/>
              </w:rPr>
              <w:t xml:space="preserve"> 1-38 </w:t>
            </w:r>
            <w:r>
              <w:rPr>
                <w:rFonts w:ascii="Times New Roman" w:hAnsi="Times New Roman" w:cs="Times New Roman"/>
                <w:sz w:val="28"/>
                <w:szCs w:val="28"/>
              </w:rPr>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в эл. виде</w:t>
            </w:r>
            <w:r/>
          </w:p>
        </w:tc>
      </w:tr>
    </w:tbl>
    <w:p>
      <w:pPr>
        <w:jc w:val="center"/>
        <w:spacing w:line="276" w:lineRule="auto"/>
        <w:rPr>
          <w:highlight w:val="yellow"/>
        </w:rPr>
      </w:pPr>
      <w:r>
        <w:rPr>
          <w:highlight w:val="yellow"/>
        </w:rPr>
      </w:r>
      <w:r>
        <w:rPr>
          <w:highlight w:val="yellow"/>
        </w:rPr>
      </w:r>
      <w:r>
        <w:rPr>
          <w:highlight w:val="yellow"/>
        </w:rPr>
      </w:r>
    </w:p>
    <w:p>
      <w:pPr>
        <w:jc w:val="center"/>
        <w:spacing w:line="276" w:lineRule="auto"/>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r>
        <w:rPr>
          <w:highlight w:val="yellow"/>
        </w:rPr>
      </w:r>
    </w:p>
    <w:p>
      <w:pPr>
        <w:ind w:firstLine="0"/>
        <w:jc w:val="left"/>
        <w:spacing w:line="276" w:lineRule="auto"/>
        <w:rPr>
          <w:highlight w:val="yellow"/>
        </w:rPr>
      </w:pPr>
      <w:r>
        <w:rPr>
          <w:highlight w:val="yellow"/>
        </w:rPr>
      </w:r>
      <w:r>
        <w:rPr>
          <w:highlight w:val="yellow"/>
        </w:rPr>
      </w:r>
      <w:r>
        <w:rPr>
          <w:highlight w:val="yellow"/>
        </w:rPr>
      </w:r>
    </w:p>
    <w:p>
      <w:pPr>
        <w:ind w:firstLine="0"/>
        <w:jc w:val="center"/>
        <w:spacing w:line="276" w:lineRule="auto"/>
      </w:pPr>
      <w:r>
        <w:t xml:space="preserve">ВВЕДЕНИЕ</w:t>
      </w:r>
      <w:r/>
    </w:p>
    <w:p>
      <w:pPr>
        <w:ind w:firstLine="0"/>
        <w:jc w:val="center"/>
        <w:spacing w:line="276" w:lineRule="auto"/>
        <w:rPr>
          <w:b/>
        </w:rPr>
      </w:pPr>
      <w:r>
        <w:rPr>
          <w:b/>
        </w:rPr>
      </w:r>
      <w:r>
        <w:rPr>
          <w:b/>
        </w:rPr>
      </w:r>
      <w:r>
        <w:rPr>
          <w:b/>
        </w:rPr>
      </w:r>
    </w:p>
    <w:p>
      <w:pPr>
        <w:ind w:firstLine="709"/>
        <w:spacing w:line="276" w:lineRule="auto"/>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w:t>
      </w:r>
      <w:r>
        <w:rPr>
          <w:rFonts w:eastAsia="Calibri"/>
          <w:color w:val="000000"/>
        </w:rPr>
        <w:t xml:space="preserve"> ноября </w:t>
      </w:r>
      <w:r>
        <w:rPr>
          <w:rFonts w:eastAsia="Calibri"/>
          <w:color w:val="000000"/>
        </w:rPr>
        <w:t xml:space="preserve">2020</w:t>
      </w:r>
      <w:r>
        <w:rPr>
          <w:rFonts w:eastAsia="Calibri"/>
          <w:color w:val="000000"/>
        </w:rPr>
        <w:t xml:space="preserve">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r>
        <w:rPr>
          <w:rFonts w:eastAsia="Calibri"/>
          <w:color w:val="2d2d2d"/>
          <w:spacing w:val="2"/>
        </w:rPr>
      </w:r>
      <w:r>
        <w:rPr>
          <w:rFonts w:eastAsia="Calibri"/>
          <w:color w:val="2d2d2d"/>
          <w:spacing w:val="2"/>
        </w:rPr>
      </w:r>
    </w:p>
    <w:p>
      <w:pPr>
        <w:ind w:firstLine="709"/>
        <w:spacing w:line="276" w:lineRule="auto"/>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Pr>
          <w:rFonts w:eastAsia="Calibri"/>
          <w:color w:val="000000"/>
        </w:rPr>
        <w:t xml:space="preserve"> июня </w:t>
      </w:r>
      <w:r>
        <w:rPr>
          <w:rFonts w:eastAsia="Calibri"/>
          <w:color w:val="000000"/>
        </w:rPr>
        <w:br/>
      </w:r>
      <w:r>
        <w:rPr>
          <w:rFonts w:eastAsia="Calibri"/>
          <w:color w:val="000000"/>
        </w:rPr>
        <w:t xml:space="preserve">2021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48</w:t>
      </w:r>
      <w:r>
        <w:rPr>
          <w:rFonts w:eastAsia="Calibri"/>
          <w:color w:val="000000"/>
        </w:rPr>
        <w:t xml:space="preserve">,</w:t>
      </w:r>
      <w:r>
        <w:rPr>
          <w:rFonts w:eastAsia="Calibri"/>
          <w:color w:val="000000"/>
        </w:rPr>
        <w:t xml:space="preserve"> с изменениями и дополнениями </w:t>
      </w:r>
      <w:r>
        <w:rPr>
          <w:rFonts w:eastAsia="Calibri"/>
          <w:color w:val="000000"/>
        </w:rPr>
        <w:t xml:space="preserve">от 26 декабря 2022 г. (протокол № 51)</w:t>
      </w:r>
      <w:r>
        <w:rPr>
          <w:rFonts w:eastAsia="Calibri"/>
          <w:color w:val="000000"/>
        </w:rPr>
        <w:t xml:space="preserve">, в Ханты-Мансийском автономном округе – Югре</w:t>
      </w:r>
      <w:r>
        <w:rPr>
          <w:rFonts w:eastAsia="Calibri"/>
          <w:color w:val="000000"/>
        </w:rPr>
        <w:t xml:space="preserve"> </w:t>
      </w:r>
      <w:r>
        <w:rPr>
          <w:rFonts w:eastAsia="Calibri"/>
        </w:rPr>
        <w:t xml:space="preserve">(далее также – автономный округ, округ, </w:t>
      </w:r>
      <w:r>
        <w:rPr>
          <w:rFonts w:eastAsia="Calibri"/>
        </w:rPr>
        <w:t xml:space="preserve">ХМАО-Югра, </w:t>
      </w:r>
      <w:r>
        <w:rPr>
          <w:rFonts w:eastAsia="Calibri"/>
        </w:rPr>
        <w:t xml:space="preserve">Югра)</w:t>
      </w:r>
      <w:r>
        <w:rPr>
          <w:rFonts w:eastAsia="Calibri"/>
          <w:color w:val="000000"/>
        </w:rPr>
        <w:t xml:space="preserve"> проводится мониторинг наркоситуации. </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осуществляется в целях: </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наркотиков;</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прекурсоров;</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оценки эффективности проводимой в автономном округе антинаркотической политики и формирования предложений по ее оптимизации.</w:t>
      </w:r>
      <w:r>
        <w:rPr>
          <w:rFonts w:eastAsia="Calibri"/>
          <w:color w:val="000000"/>
        </w:rPr>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w:t>
      </w:r>
      <w:r>
        <w:rPr>
          <w:rFonts w:eastAsia="Calibri"/>
          <w:color w:val="000000"/>
        </w:rPr>
        <w:t xml:space="preserve"> противодействия</w:t>
      </w:r>
      <w:r>
        <w:rPr>
          <w:rFonts w:eastAsia="Calibri"/>
          <w:color w:val="000000"/>
        </w:rPr>
        <w:t xml:space="preserve"> их незаконному обороту, профилактики незаконного потребления наркотиков, лечения, комплексной̆ реабилитац</w:t>
      </w:r>
      <w:r>
        <w:rPr>
          <w:rFonts w:eastAsia="Calibri"/>
          <w:color w:val="000000"/>
        </w:rPr>
        <w:t xml:space="preserve">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r>
        <w:rPr>
          <w:rFonts w:eastAsia="Calibri"/>
          <w:color w:val="000000"/>
        </w:rPr>
        <w:t xml:space="preserve"> прогнозировать развития наркоси</w:t>
      </w:r>
      <w:r>
        <w:rPr>
          <w:rFonts w:eastAsia="Calibri"/>
          <w:color w:val="000000"/>
        </w:rPr>
        <w:t xml:space="preserve">туации и вырабатывать предложен</w:t>
      </w:r>
      <w:r>
        <w:rPr>
          <w:rFonts w:eastAsia="Calibri"/>
          <w:color w:val="000000"/>
        </w:rPr>
        <w:t xml:space="preserve">ия по ее улучшению. </w:t>
      </w:r>
      <w:r>
        <w:rPr>
          <w:rFonts w:eastAsia="Calibri"/>
          <w:color w:val="000000"/>
        </w:rPr>
      </w:r>
      <w:r>
        <w:rPr>
          <w:rFonts w:eastAsia="Calibri"/>
          <w:color w:val="000000"/>
        </w:rPr>
      </w:r>
    </w:p>
    <w:p>
      <w:pPr>
        <w:ind w:firstLine="709"/>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r>
        <w:rPr>
          <w:rFonts w:eastAsia="Calibri"/>
          <w:b/>
          <w:color w:val="000000"/>
        </w:rPr>
      </w:r>
    </w:p>
    <w:p>
      <w:pPr>
        <w:ind w:firstLine="709"/>
        <w:jc w:val="center"/>
        <w:spacing w:line="276" w:lineRule="auto"/>
        <w:rPr>
          <w:rFonts w:eastAsia="Calibri"/>
          <w:color w:val="ff0000"/>
        </w:rPr>
      </w:pPr>
      <w:r>
        <w:rPr>
          <w:rFonts w:eastAsia="Calibri"/>
          <w:color w:val="ff0000"/>
        </w:rPr>
      </w:r>
      <w:r>
        <w:rPr>
          <w:rFonts w:eastAsia="Calibri"/>
          <w:color w:val="ff0000"/>
        </w:rPr>
      </w:r>
      <w:r>
        <w:rPr>
          <w:rFonts w:eastAsia="Calibri"/>
          <w:color w:val="ff0000"/>
        </w:rPr>
      </w:r>
    </w:p>
    <w:p>
      <w:pPr>
        <w:ind w:firstLine="709"/>
        <w:jc w:val="center"/>
        <w:spacing w:line="276" w:lineRule="auto"/>
        <w:rPr>
          <w:rFonts w:eastAsia="Calibri"/>
          <w:color w:val="000000"/>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rPr>
      </w:r>
      <w:r>
        <w:rPr>
          <w:rFonts w:eastAsia="Calibri"/>
          <w:color w:val="000000"/>
        </w:rPr>
      </w:r>
      <w:r>
        <w:rPr>
          <w:rFonts w:eastAsia="Calibri"/>
          <w:color w:val="000000"/>
        </w:rPr>
      </w:r>
    </w:p>
    <w:p>
      <w:pPr>
        <w:ind w:firstLine="0"/>
        <w:jc w:val="center"/>
        <w:spacing w:line="276" w:lineRule="auto"/>
        <w:rPr>
          <w:rFonts w:eastAsia="Calibri"/>
          <w:b/>
        </w:rPr>
      </w:pPr>
      <w:r>
        <w:rPr>
          <w:rFonts w:eastAsia="Calibri"/>
          <w:b/>
        </w:rPr>
        <w:t xml:space="preserve">Доклад</w:t>
      </w:r>
      <w:r>
        <w:rPr>
          <w:rFonts w:eastAsia="Calibri"/>
          <w:b/>
        </w:rPr>
        <w:br/>
      </w:r>
      <w:r>
        <w:rPr>
          <w:rFonts w:eastAsia="Calibri"/>
          <w:b/>
        </w:rPr>
        <w:t xml:space="preserve">о наркоситуации </w:t>
      </w:r>
      <w:r>
        <w:rPr>
          <w:rFonts w:eastAsia="Calibri"/>
          <w:b/>
        </w:rPr>
        <w:t xml:space="preserve">в</w:t>
      </w:r>
      <w:r>
        <w:rPr>
          <w:rFonts w:eastAsia="Calibri"/>
          <w:b/>
        </w:rPr>
        <w:t xml:space="preserve"> </w:t>
      </w:r>
      <w:r>
        <w:rPr>
          <w:rFonts w:eastAsia="Calibri"/>
          <w:b/>
        </w:rPr>
        <w:t xml:space="preserve">Ханты-Мансийском</w:t>
      </w:r>
      <w:r>
        <w:rPr>
          <w:rFonts w:eastAsia="Calibri"/>
          <w:b/>
        </w:rPr>
        <w:br/>
      </w:r>
      <w:r>
        <w:rPr>
          <w:rFonts w:eastAsia="Calibri"/>
          <w:b/>
        </w:rPr>
        <w:t xml:space="preserve">автономном округе – Югре в 202</w:t>
      </w:r>
      <w:r>
        <w:rPr>
          <w:rFonts w:eastAsia="Calibri"/>
          <w:b/>
        </w:rPr>
        <w:t xml:space="preserve">4</w:t>
      </w:r>
      <w:r>
        <w:rPr>
          <w:rFonts w:eastAsia="Calibri"/>
          <w:b/>
        </w:rPr>
        <w:t xml:space="preserve"> году</w:t>
      </w:r>
      <w:r>
        <w:rPr>
          <w:rFonts w:eastAsia="Calibri"/>
          <w:b/>
        </w:rPr>
      </w:r>
      <w:r>
        <w:rPr>
          <w:rFonts w:eastAsia="Calibri"/>
          <w:b/>
        </w:rPr>
      </w:r>
    </w:p>
    <w:p>
      <w:pPr>
        <w:ind w:firstLine="709"/>
        <w:jc w:val="center"/>
        <w:spacing w:line="276" w:lineRule="auto"/>
        <w:rPr>
          <w:b/>
        </w:rPr>
      </w:pPr>
      <w:r>
        <w:rPr>
          <w:b/>
        </w:rPr>
      </w:r>
      <w:r>
        <w:rPr>
          <w:b/>
        </w:rPr>
      </w:r>
      <w:r>
        <w:rPr>
          <w:b/>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1. Характеристика Ханты-Мансийского автономного округа – Югры</w:t>
      </w:r>
      <w:r>
        <w:rPr>
          <w:b/>
        </w:rPr>
      </w:r>
      <w:r>
        <w:rPr>
          <w:b/>
        </w:rPr>
      </w:r>
    </w:p>
    <w:p>
      <w:pPr>
        <w:spacing w:line="276" w:lineRule="auto"/>
        <w:rPr>
          <w:rFonts w:eastAsia="Calibri"/>
        </w:rPr>
      </w:pPr>
      <w:r>
        <w:rPr>
          <w:rFonts w:eastAsia="Calibri"/>
        </w:rPr>
      </w:r>
      <w:r>
        <w:rPr>
          <w:rFonts w:eastAsia="Calibri"/>
        </w:rPr>
      </w:r>
      <w:r>
        <w:rPr>
          <w:rFonts w:eastAsia="Calibri"/>
        </w:rPr>
      </w:r>
    </w:p>
    <w:p>
      <w:pPr>
        <w:spacing w:line="276" w:lineRule="auto"/>
        <w:rPr>
          <w:rFonts w:eastAsia="Calibri"/>
        </w:rPr>
      </w:pPr>
      <w:r>
        <w:rPr>
          <w:rFonts w:eastAsia="Calibri"/>
        </w:rPr>
        <w:t xml:space="preserve">Ханты-Мансийский автономный округ – Югра </w:t>
      </w:r>
      <w:r>
        <w:rPr>
          <w:rFonts w:eastAsia="Calibri"/>
        </w:rPr>
        <w:t xml:space="preserve">расположен в срединной части России. Он занимает центральную часть Западно-Сибирской равнины. </w:t>
      </w:r>
      <w:r>
        <w:rPr>
          <w:rFonts w:eastAsia="Calibri"/>
        </w:rPr>
        <w:t xml:space="preserve">На севере округ граничит с Ямало-Ненецким автономным округом, на северо-западе </w:t>
      </w:r>
      <w:r>
        <w:rPr>
          <w:rFonts w:eastAsia="Calibri"/>
        </w:rPr>
        <w:t xml:space="preserve">–</w:t>
      </w:r>
      <w:r>
        <w:rPr>
          <w:rFonts w:eastAsia="Calibri"/>
        </w:rPr>
        <w:t xml:space="preserve"> с Республикой Коми, на юго-западе со Свердловской областью, на юге </w:t>
      </w:r>
      <w:r>
        <w:rPr>
          <w:rFonts w:eastAsia="Calibri"/>
        </w:rPr>
        <w:t xml:space="preserve">–</w:t>
      </w:r>
      <w:r>
        <w:rPr>
          <w:rFonts w:eastAsia="Calibri"/>
        </w:rPr>
        <w:t xml:space="preserve"> с Тобольским и Уватским районами Тюменской области, на юго-востоке и востоке </w:t>
      </w:r>
      <w:r>
        <w:rPr>
          <w:rFonts w:eastAsia="Calibri"/>
        </w:rPr>
        <w:t xml:space="preserve">–</w:t>
      </w:r>
      <w:r>
        <w:rPr>
          <w:rFonts w:eastAsia="Calibri"/>
        </w:rPr>
        <w:t xml:space="preserve"> с Томской областью и Красноярским краем.</w:t>
      </w:r>
      <w:r>
        <w:rPr>
          <w:rFonts w:eastAsia="Calibri"/>
        </w:rPr>
      </w:r>
      <w:r>
        <w:rPr>
          <w:rFonts w:eastAsia="Calibri"/>
        </w:rPr>
      </w:r>
    </w:p>
    <w:p>
      <w:pPr>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w:t>
      </w:r>
      <w:r>
        <w:rPr>
          <w:rFonts w:eastAsia="Calibri"/>
        </w:rPr>
        <w:t xml:space="preserve">Белоярский и Березовский муниципальные районы входят в Арктическую зону Российской Федерации. </w:t>
      </w:r>
      <w:r>
        <w:rPr>
          <w:rFonts w:eastAsia="Calibri"/>
        </w:rPr>
        <w:t xml:space="preserve">Административный центр округа – город Ханты-Мансийск.</w:t>
      </w:r>
      <w:r>
        <w:rPr>
          <w:rFonts w:eastAsia="Calibri"/>
        </w:rPr>
        <w:t xml:space="preserve"> </w:t>
      </w:r>
      <w:r>
        <w:rPr>
          <w:rFonts w:eastAsia="Calibri"/>
        </w:rPr>
        <w:t xml:space="preserve">Площадь Ханты-Мансийского автономного округа – Югры составляет 534,8 тыс</w:t>
      </w:r>
      <w:r>
        <w:rPr>
          <w:rFonts w:eastAsia="Calibri"/>
        </w:rPr>
        <w:t xml:space="preserve">.</w:t>
      </w:r>
      <w:r>
        <w:rPr>
          <w:rFonts w:eastAsia="Calibri"/>
        </w:rPr>
        <w:t xml:space="preserve"> кв</w:t>
      </w:r>
      <w:r>
        <w:rPr>
          <w:rFonts w:eastAsia="Calibri"/>
        </w:rPr>
        <w:t xml:space="preserve">.</w:t>
      </w:r>
      <w:r>
        <w:rPr>
          <w:rFonts w:eastAsia="Calibri"/>
        </w:rPr>
        <w:t xml:space="preserve"> </w:t>
      </w:r>
      <w:r>
        <w:rPr>
          <w:rFonts w:eastAsia="Calibri"/>
        </w:rPr>
        <w:t xml:space="preserve">к</w:t>
      </w:r>
      <w:r>
        <w:rPr>
          <w:rFonts w:eastAsia="Calibri"/>
        </w:rPr>
        <w:t xml:space="preserve">ило</w:t>
      </w:r>
      <w:r>
        <w:rPr>
          <w:rFonts w:eastAsia="Calibri"/>
        </w:rPr>
        <w:t xml:space="preserve">м</w:t>
      </w:r>
      <w:r>
        <w:rPr>
          <w:rFonts w:eastAsia="Calibri"/>
        </w:rPr>
        <w:t xml:space="preserve">етров</w:t>
      </w:r>
      <w:r>
        <w:rPr>
          <w:rFonts w:eastAsia="Calibri"/>
        </w:rPr>
        <w:t xml:space="preserve"> (9-е место в России)</w:t>
      </w:r>
      <w:r>
        <w:rPr>
          <w:rFonts w:eastAsia="Calibri"/>
        </w:rPr>
        <w:t xml:space="preserve">. С юга на север он простирается на 900 к</w:t>
      </w:r>
      <w:r>
        <w:rPr>
          <w:rFonts w:eastAsia="Calibri"/>
        </w:rPr>
        <w:t xml:space="preserve">илометров,</w:t>
      </w:r>
      <w:r>
        <w:rPr>
          <w:rFonts w:eastAsia="Calibri"/>
        </w:rPr>
        <w:t xml:space="preserve"> с запада на восток –</w:t>
      </w:r>
      <w:r>
        <w:rPr>
          <w:rFonts w:eastAsia="Calibri"/>
        </w:rPr>
        <w:t xml:space="preserve"> </w:t>
      </w:r>
      <w:r>
        <w:rPr>
          <w:rFonts w:eastAsia="Calibri"/>
        </w:rPr>
        <w:t xml:space="preserve">на 1400 к</w:t>
      </w:r>
      <w:r>
        <w:rPr>
          <w:rFonts w:eastAsia="Calibri"/>
        </w:rPr>
        <w:t xml:space="preserve">ило</w:t>
      </w:r>
      <w:r>
        <w:rPr>
          <w:rFonts w:eastAsia="Calibri"/>
        </w:rPr>
        <w:t xml:space="preserve">м</w:t>
      </w:r>
      <w:r>
        <w:rPr>
          <w:rFonts w:eastAsia="Calibri"/>
        </w:rPr>
        <w:t xml:space="preserve">етров</w:t>
      </w:r>
      <w:r>
        <w:rPr>
          <w:rFonts w:eastAsia="Calibri"/>
        </w:rPr>
        <w:t xml:space="preserve">. Из городов самым большим по численности населения </w:t>
      </w:r>
      <w:r>
        <w:rPr>
          <w:rFonts w:eastAsia="Calibri"/>
        </w:rPr>
        <w:t xml:space="preserve">по состоянию на начало 2024 года </w:t>
      </w:r>
      <w:r>
        <w:rPr>
          <w:rFonts w:eastAsia="Calibri"/>
        </w:rPr>
        <w:t xml:space="preserve">является Сургут</w:t>
      </w:r>
      <w:r>
        <w:rPr>
          <w:rFonts w:eastAsia="Calibri"/>
        </w:rPr>
        <w:t xml:space="preserve"> </w:t>
      </w:r>
      <w:r>
        <w:rPr>
          <w:rFonts w:eastAsia="Calibri"/>
        </w:rPr>
        <w:t xml:space="preserve">– </w:t>
      </w:r>
      <w:r>
        <w:rPr>
          <w:rFonts w:eastAsia="Calibri"/>
        </w:rPr>
        <w:t xml:space="preserve">420,3 </w:t>
      </w:r>
      <w:r>
        <w:rPr>
          <w:rFonts w:eastAsia="Calibri"/>
        </w:rPr>
        <w:t xml:space="preserve">тыс</w:t>
      </w:r>
      <w:r>
        <w:rPr>
          <w:rFonts w:eastAsia="Calibri"/>
        </w:rPr>
        <w:t xml:space="preserve">.</w:t>
      </w:r>
      <w:r>
        <w:rPr>
          <w:rFonts w:eastAsia="Calibri"/>
        </w:rPr>
        <w:t xml:space="preserve"> человек, из районов – Сургутский – </w:t>
      </w:r>
      <w:r>
        <w:rPr>
          <w:rFonts w:eastAsia="Calibri"/>
        </w:rPr>
        <w:t xml:space="preserve">130,0 </w:t>
      </w:r>
      <w:r>
        <w:rPr>
          <w:rFonts w:eastAsia="Calibri"/>
        </w:rPr>
        <w:t xml:space="preserve">тыс</w:t>
      </w:r>
      <w:r>
        <w:rPr>
          <w:rFonts w:eastAsia="Calibri"/>
        </w:rPr>
        <w:t xml:space="preserve">.</w:t>
      </w:r>
      <w:r>
        <w:rPr>
          <w:rFonts w:eastAsia="Calibri"/>
        </w:rPr>
        <w:t xml:space="preserve"> человек. По площади территории на первых местах находятся </w:t>
      </w:r>
      <w:r>
        <w:rPr>
          <w:rFonts w:eastAsia="Calibri"/>
        </w:rPr>
        <w:t xml:space="preserve">Нижневартовский – 21,9</w:t>
      </w:r>
      <w:r>
        <w:rPr>
          <w:rFonts w:eastAsia="Calibri"/>
        </w:rPr>
        <w:t xml:space="preserve"> </w:t>
      </w:r>
      <w:r>
        <w:rPr>
          <w:rFonts w:eastAsia="Calibri"/>
        </w:rPr>
        <w:t xml:space="preserve">%, Сургутский – 19,7</w:t>
      </w:r>
      <w:r>
        <w:rPr>
          <w:rFonts w:eastAsia="Calibri"/>
        </w:rPr>
        <w:t xml:space="preserve"> </w:t>
      </w:r>
      <w:r>
        <w:rPr>
          <w:rFonts w:eastAsia="Calibri"/>
        </w:rPr>
        <w:t xml:space="preserve">%, Березовский районы – </w:t>
      </w:r>
      <w:r>
        <w:rPr>
          <w:rFonts w:eastAsia="Calibri"/>
        </w:rPr>
        <w:br/>
      </w:r>
      <w:r>
        <w:rPr>
          <w:rFonts w:eastAsia="Calibri"/>
        </w:rPr>
        <w:t xml:space="preserve">16,5</w:t>
      </w:r>
      <w:r>
        <w:rPr>
          <w:rFonts w:eastAsia="Calibri"/>
        </w:rPr>
        <w:t xml:space="preserve"> </w:t>
      </w:r>
      <w:r>
        <w:rPr>
          <w:rFonts w:eastAsia="Calibri"/>
        </w:rPr>
        <w:t xml:space="preserve">%. </w:t>
      </w:r>
      <w:r>
        <w:rPr>
          <w:rFonts w:eastAsia="Calibri"/>
        </w:rPr>
      </w:r>
      <w:r>
        <w:rPr>
          <w:rFonts w:eastAsia="Calibri"/>
        </w:rPr>
      </w:r>
    </w:p>
    <w:p>
      <w:pPr>
        <w:spacing w:line="276" w:lineRule="auto"/>
        <w:rPr>
          <w:rFonts w:eastAsia="Calibri"/>
        </w:rPr>
      </w:pPr>
      <w:r>
        <w:rPr>
          <w:rFonts w:eastAsia="Calibri"/>
        </w:rPr>
        <w:t xml:space="preserve">Количество муниципальных образований – 10</w:t>
      </w:r>
      <w:r>
        <w:rPr>
          <w:rFonts w:eastAsia="Calibri"/>
        </w:rPr>
        <w:t xml:space="preserve">5</w:t>
      </w:r>
      <w:r>
        <w:rPr>
          <w:rFonts w:eastAsia="Calibri"/>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Pr>
          <w:rFonts w:eastAsia="Calibri"/>
        </w:rPr>
        <w:t xml:space="preserve">9</w:t>
      </w:r>
      <w:r>
        <w:rPr>
          <w:rFonts w:eastAsia="Calibri"/>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Pr>
          <w:rFonts w:eastAsia="Calibri"/>
        </w:rPr>
        <w:t xml:space="preserve">7</w:t>
      </w:r>
      <w:r>
        <w:rPr>
          <w:rFonts w:eastAsia="Calibri"/>
        </w:rPr>
        <w:t xml:space="preserve"> сельских поселений.</w:t>
      </w:r>
      <w:r>
        <w:rPr>
          <w:rFonts w:eastAsia="Calibri"/>
        </w:rPr>
      </w:r>
      <w:r>
        <w:rPr>
          <w:rFonts w:eastAsia="Calibri"/>
        </w:rPr>
      </w:r>
    </w:p>
    <w:p>
      <w:pPr>
        <w:spacing w:line="276" w:lineRule="auto"/>
        <w:rPr>
          <w:rFonts w:eastAsia="Calibri"/>
        </w:rPr>
      </w:pPr>
      <w:r>
        <w:rPr>
          <w:rFonts w:eastAsia="Calibri"/>
        </w:rPr>
        <w:t xml:space="preserve">По своим социально-экономическим и демографическим показателям за 2024 год Югра </w:t>
      </w:r>
      <w:r>
        <w:rPr>
          <w:rFonts w:eastAsia="Calibri"/>
        </w:rPr>
        <w:t xml:space="preserve">заняла 5-е место</w:t>
      </w:r>
      <w:r>
        <w:rPr>
          <w:rFonts w:eastAsia="Calibri"/>
        </w:rPr>
        <w:t xml:space="preserve"> </w:t>
      </w:r>
      <w:r>
        <w:rPr>
          <w:rFonts w:eastAsia="Calibri"/>
        </w:rPr>
        <w:t xml:space="preserve">в </w:t>
      </w:r>
      <w:r>
        <w:rPr>
          <w:rFonts w:eastAsia="Calibri"/>
        </w:rPr>
        <w:t xml:space="preserve">Итоговом</w:t>
      </w:r>
      <w:r>
        <w:rPr>
          <w:rFonts w:eastAsia="Calibri"/>
        </w:rPr>
        <w:t xml:space="preserve"> рейтинге регионов </w:t>
      </w:r>
      <w:r>
        <w:rPr>
          <w:rFonts w:eastAsia="Calibri"/>
        </w:rPr>
        <w:t xml:space="preserve">РФ </w:t>
      </w:r>
      <w:r>
        <w:rPr>
          <w:rFonts w:eastAsia="Calibri"/>
        </w:rPr>
        <w:t xml:space="preserve">Рейтингового агентства ООО «РИА Рейтинг»</w:t>
      </w:r>
      <w:r>
        <w:rPr>
          <w:rFonts w:eastAsia="Calibri"/>
        </w:rPr>
        <w:t xml:space="preserve">.</w:t>
      </w:r>
      <w:r>
        <w:rPr>
          <w:rFonts w:eastAsia="Calibri"/>
        </w:rPr>
      </w:r>
      <w:r>
        <w:rPr>
          <w:rFonts w:eastAsia="Calibri"/>
        </w:rPr>
      </w:r>
    </w:p>
    <w:p>
      <w:pPr>
        <w:spacing w:line="276" w:lineRule="auto"/>
        <w:rPr>
          <w:rFonts w:eastAsia="Calibri"/>
        </w:rPr>
      </w:pPr>
      <w:r>
        <w:rPr>
          <w:rFonts w:eastAsia="Calibri"/>
        </w:rPr>
        <w:t xml:space="preserve">По оценке</w:t>
      </w:r>
      <w:r>
        <w:rPr>
          <w:rFonts w:eastAsia="Calibri"/>
        </w:rPr>
        <w:t xml:space="preserve"> </w:t>
      </w:r>
      <w:r>
        <w:rPr>
          <w:rFonts w:eastAsia="Calibri"/>
          <w:i/>
        </w:rPr>
        <w:t xml:space="preserve">Федеральной службы государственной статистики</w:t>
      </w:r>
      <w:r>
        <w:rPr>
          <w:rFonts w:eastAsia="Calibri"/>
        </w:rPr>
        <w:t xml:space="preserve"> </w:t>
      </w:r>
      <w:r>
        <w:rPr>
          <w:rFonts w:eastAsia="Calibri"/>
          <w:highlight w:val="white"/>
        </w:rPr>
        <w:t xml:space="preserve">на 1 января 202</w:t>
      </w:r>
      <w:r>
        <w:rPr>
          <w:rFonts w:eastAsia="Calibri"/>
          <w:highlight w:val="white"/>
        </w:rPr>
        <w:t xml:space="preserve">4</w:t>
      </w:r>
      <w:r>
        <w:rPr>
          <w:rFonts w:eastAsia="Calibri"/>
          <w:highlight w:val="white"/>
        </w:rPr>
        <w:t xml:space="preserve"> года</w:t>
      </w:r>
      <w:r>
        <w:rPr>
          <w:rFonts w:eastAsia="Calibri"/>
        </w:rPr>
        <w:t xml:space="preserve"> </w:t>
      </w:r>
      <w:r>
        <w:rPr>
          <w:rFonts w:eastAsia="Calibri"/>
          <w:b/>
          <w:i/>
        </w:rPr>
        <w:t xml:space="preserve">численность постоянного населения</w:t>
      </w:r>
      <w:r>
        <w:rPr>
          <w:rFonts w:eastAsia="Calibri"/>
        </w:rPr>
        <w:t xml:space="preserve"> автономного округа составила</w:t>
      </w:r>
      <w:r>
        <w:rPr>
          <w:rFonts w:eastAsia="Calibri"/>
        </w:rPr>
        <w:t xml:space="preserve"> </w:t>
      </w:r>
      <w:r>
        <w:rPr>
          <w:rFonts w:eastAsia="Calibri"/>
        </w:rPr>
        <w:t xml:space="preserve">1759,4 </w:t>
      </w:r>
      <w:r>
        <w:rPr>
          <w:rFonts w:eastAsia="Calibri"/>
        </w:rPr>
        <w:t xml:space="preserve">тыс. человек и по сравнению с аналогичной датой 202</w:t>
      </w:r>
      <w:r>
        <w:rPr>
          <w:rFonts w:eastAsia="Calibri"/>
        </w:rPr>
        <w:t xml:space="preserve">3</w:t>
      </w:r>
      <w:r>
        <w:rPr>
          <w:rFonts w:eastAsia="Calibri"/>
        </w:rPr>
        <w:t xml:space="preserve"> года увеличилась на </w:t>
      </w:r>
      <w:r>
        <w:rPr>
          <w:rFonts w:eastAsia="Calibri"/>
        </w:rPr>
        <w:t xml:space="preserve">29,0</w:t>
      </w:r>
      <w:r>
        <w:rPr>
          <w:rFonts w:eastAsia="Calibri"/>
        </w:rPr>
        <w:t xml:space="preserve"> тыс. человек (</w:t>
      </w:r>
      <w:r>
        <w:rPr>
          <w:rFonts w:eastAsia="Calibri"/>
        </w:rPr>
        <w:t xml:space="preserve">на 1 января 202</w:t>
      </w:r>
      <w:r>
        <w:rPr>
          <w:rFonts w:eastAsia="Calibri"/>
        </w:rPr>
        <w:t xml:space="preserve">3</w:t>
      </w:r>
      <w:r>
        <w:rPr>
          <w:rFonts w:eastAsia="Calibri"/>
        </w:rPr>
        <w:t xml:space="preserve"> года численность составляла </w:t>
      </w:r>
      <w:r>
        <w:rPr>
          <w:rFonts w:eastAsia="Calibri"/>
        </w:rPr>
        <w:t xml:space="preserve">1730,3 тыс. человек</w:t>
      </w:r>
      <w:r>
        <w:rPr>
          <w:rFonts w:eastAsia="Calibri"/>
        </w:rPr>
        <w:t xml:space="preserve">, </w:t>
      </w:r>
      <w:r>
        <w:rPr>
          <w:rFonts w:eastAsia="Calibri"/>
        </w:rPr>
        <w:t xml:space="preserve">на 1 января 202</w:t>
      </w:r>
      <w:r>
        <w:rPr>
          <w:rFonts w:eastAsia="Calibri"/>
        </w:rPr>
        <w:t xml:space="preserve">2</w:t>
      </w:r>
      <w:r>
        <w:rPr>
          <w:rFonts w:eastAsia="Calibri"/>
        </w:rPr>
        <w:t xml:space="preserve"> года </w:t>
      </w:r>
      <w:r>
        <w:rPr>
          <w:rFonts w:eastAsia="Calibri"/>
        </w:rPr>
        <w:t xml:space="preserve">-</w:t>
      </w:r>
      <w:r>
        <w:rPr>
          <w:rFonts w:eastAsia="Calibri"/>
        </w:rPr>
        <w:t xml:space="preserve"> </w:t>
      </w:r>
      <w:r>
        <w:rPr>
          <w:rFonts w:eastAsia="Calibri"/>
        </w:rPr>
        <w:t xml:space="preserve">1713,8 тыс. человек</w:t>
      </w:r>
      <w:r>
        <w:rPr>
          <w:rFonts w:eastAsia="Calibri"/>
        </w:rPr>
        <w:t xml:space="preserve">). </w:t>
      </w:r>
      <w:r>
        <w:rPr>
          <w:rFonts w:eastAsia="Calibri"/>
        </w:rPr>
      </w:r>
      <w:r>
        <w:rPr>
          <w:rFonts w:eastAsia="Calibri"/>
        </w:rPr>
      </w:r>
    </w:p>
    <w:p>
      <w:pPr>
        <w:contextualSpacing/>
        <w:spacing w:line="276" w:lineRule="auto"/>
        <w:rPr>
          <w:rFonts w:eastAsia="Calibri"/>
        </w:rPr>
      </w:pPr>
      <w:r>
        <w:rPr>
          <w:rFonts w:eastAsia="Calibri"/>
        </w:rPr>
        <w:t xml:space="preserve">Естественный </w:t>
      </w:r>
      <w:r>
        <w:rPr>
          <w:rFonts w:eastAsia="Calibri"/>
        </w:rPr>
        <w:t xml:space="preserve">прирост населения </w:t>
      </w:r>
      <w:r>
        <w:rPr>
          <w:rFonts w:eastAsia="Calibri"/>
          <w:highlight w:val="white"/>
        </w:rPr>
        <w:t xml:space="preserve">за 202</w:t>
      </w:r>
      <w:r>
        <w:rPr>
          <w:rFonts w:eastAsia="Calibri"/>
          <w:highlight w:val="white"/>
        </w:rPr>
        <w:t xml:space="preserve">3</w:t>
      </w:r>
      <w:r>
        <w:rPr>
          <w:rFonts w:eastAsia="Calibri"/>
          <w:highlight w:val="white"/>
        </w:rPr>
        <w:t xml:space="preserve"> год</w:t>
      </w:r>
      <w:r>
        <w:rPr>
          <w:rFonts w:eastAsia="Calibri"/>
        </w:rPr>
        <w:t xml:space="preserve"> составил </w:t>
      </w:r>
      <w:r>
        <w:t xml:space="preserve">21,0</w:t>
      </w:r>
      <w:r>
        <w:t xml:space="preserve"> тыс. человек (</w:t>
      </w:r>
      <w:r>
        <w:t xml:space="preserve">за 202</w:t>
      </w:r>
      <w:r>
        <w:t xml:space="preserve">2</w:t>
      </w:r>
      <w:r>
        <w:t xml:space="preserve"> год – </w:t>
      </w:r>
      <w:r>
        <w:t xml:space="preserve">7,9 </w:t>
      </w:r>
      <w:r>
        <w:t xml:space="preserve">тыс. человек, </w:t>
      </w:r>
      <w:r>
        <w:t xml:space="preserve">за 202</w:t>
      </w:r>
      <w:r>
        <w:t xml:space="preserve">1</w:t>
      </w:r>
      <w:r>
        <w:t xml:space="preserve"> год - </w:t>
      </w:r>
      <w:r>
        <w:t xml:space="preserve">5,3 </w:t>
      </w:r>
      <w:r>
        <w:rPr>
          <w:rFonts w:eastAsia="Calibri"/>
        </w:rPr>
        <w:t xml:space="preserve">тыс. человек</w:t>
      </w:r>
      <w:r>
        <w:rPr>
          <w:rFonts w:eastAsia="Calibri"/>
        </w:rPr>
        <w:t xml:space="preserve">). </w:t>
      </w:r>
      <w:r>
        <w:rPr>
          <w:rFonts w:eastAsia="Calibri"/>
          <w:highlight w:val="white"/>
        </w:rPr>
        <w:t xml:space="preserve">По итогам 2023 года</w:t>
      </w:r>
      <w:r>
        <w:rPr>
          <w:rFonts w:eastAsia="Calibri"/>
          <w:highlight w:val="white"/>
        </w:rPr>
        <w:t xml:space="preserve"> </w:t>
      </w:r>
      <w:r>
        <w:t xml:space="preserve">Югра заняла 6-ю позицию среди субъектов Российской Федерации по коэффициенту естественного прироста</w:t>
      </w:r>
      <w:r>
        <w:rPr>
          <w:rFonts w:eastAsia="Calibri"/>
        </w:rPr>
        <w:t xml:space="preserve"> (показатель </w:t>
      </w:r>
      <w:r>
        <w:rPr>
          <w:rFonts w:eastAsia="Calibri"/>
        </w:rPr>
        <w:t xml:space="preserve">4,6</w:t>
      </w:r>
      <w:r>
        <w:rPr>
          <w:rFonts w:eastAsia="Calibri"/>
        </w:rPr>
        <w:t xml:space="preserve"> на 1000 человек населения, по РФ – </w:t>
      </w:r>
      <w:r>
        <w:rPr>
          <w:rFonts w:eastAsia="Calibri"/>
        </w:rPr>
        <w:t xml:space="preserve">снижение на </w:t>
      </w:r>
      <w:r>
        <w:rPr>
          <w:rFonts w:eastAsia="Calibri"/>
        </w:rPr>
        <w:t xml:space="preserve">3,5</w:t>
      </w:r>
      <w:r>
        <w:rPr>
          <w:rFonts w:eastAsia="Calibri"/>
        </w:rPr>
        <w:t xml:space="preserve"> </w:t>
      </w:r>
      <w:r>
        <w:rPr>
          <w:rFonts w:eastAsia="Calibri"/>
          <w:color w:val="000000"/>
        </w:rPr>
        <w:t xml:space="preserve">промилле</w:t>
      </w:r>
      <w:r>
        <w:rPr>
          <w:rFonts w:eastAsia="Calibri"/>
        </w:rPr>
        <w:t xml:space="preserve">). По коэффициенту рождаемости округ занял 1</w:t>
      </w:r>
      <w:r>
        <w:rPr>
          <w:rFonts w:eastAsia="Calibri"/>
        </w:rPr>
        <w:t xml:space="preserve">1</w:t>
      </w:r>
      <w:r>
        <w:rPr>
          <w:rFonts w:eastAsia="Calibri"/>
        </w:rPr>
        <w:t xml:space="preserve">-е</w:t>
      </w:r>
      <w:r>
        <w:rPr>
          <w:rFonts w:eastAsia="Calibri"/>
        </w:rPr>
        <w:t xml:space="preserve"> место – </w:t>
      </w:r>
      <w:r>
        <w:rPr>
          <w:rFonts w:eastAsia="Calibri"/>
        </w:rPr>
        <w:t xml:space="preserve">11,</w:t>
      </w:r>
      <w:r>
        <w:rPr>
          <w:rFonts w:eastAsia="Calibri"/>
        </w:rPr>
        <w:t xml:space="preserve">0</w:t>
      </w:r>
      <w:r>
        <w:rPr>
          <w:rFonts w:eastAsia="Calibri"/>
        </w:rPr>
        <w:t xml:space="preserve"> на 1000 человек населения (в РФ этот показатель составил </w:t>
      </w:r>
      <w:r>
        <w:rPr>
          <w:rFonts w:eastAsia="Calibri"/>
        </w:rPr>
        <w:t xml:space="preserve">8,</w:t>
      </w:r>
      <w:r>
        <w:rPr>
          <w:rFonts w:eastAsia="Calibri"/>
        </w:rPr>
        <w:t xml:space="preserve">6</w:t>
      </w:r>
      <w:r>
        <w:rPr>
          <w:rFonts w:eastAsia="Calibri"/>
        </w:rPr>
        <w:t xml:space="preserve"> </w:t>
      </w:r>
      <w:r>
        <w:rPr>
          <w:rFonts w:eastAsia="Calibri"/>
          <w:color w:val="000000"/>
        </w:rPr>
        <w:t xml:space="preserve">промилле</w:t>
      </w:r>
      <w:r>
        <w:rPr>
          <w:rFonts w:eastAsia="Calibri"/>
        </w:rPr>
        <w:t xml:space="preserve">); 5 место по коэффициенту смертности – </w:t>
      </w:r>
      <w:r>
        <w:rPr>
          <w:rFonts w:eastAsia="Calibri"/>
        </w:rPr>
        <w:t xml:space="preserve">6</w:t>
      </w:r>
      <w:r>
        <w:rPr>
          <w:rFonts w:eastAsia="Calibri"/>
        </w:rPr>
        <w:t xml:space="preserve">,</w:t>
      </w:r>
      <w:r>
        <w:rPr>
          <w:rFonts w:eastAsia="Calibri"/>
        </w:rPr>
        <w:t xml:space="preserve">2</w:t>
      </w:r>
      <w:r>
        <w:rPr>
          <w:rFonts w:eastAsia="Calibri"/>
        </w:rPr>
        <w:t xml:space="preserve"> на 1000 человек населения (РФ – </w:t>
      </w:r>
      <w:r>
        <w:rPr>
          <w:rFonts w:eastAsia="Calibri"/>
        </w:rPr>
        <w:t xml:space="preserve">12,1</w:t>
      </w:r>
      <w:r>
        <w:rPr>
          <w:rFonts w:eastAsia="Calibri"/>
        </w:rPr>
        <w:t xml:space="preserve"> </w:t>
      </w:r>
      <w:r>
        <w:rPr>
          <w:rFonts w:eastAsia="Calibri"/>
          <w:color w:val="000000"/>
        </w:rPr>
        <w:t xml:space="preserve">промилле</w:t>
      </w:r>
      <w:r>
        <w:rPr>
          <w:rFonts w:eastAsia="Calibri"/>
        </w:rPr>
        <w:t xml:space="preserve">).</w:t>
      </w:r>
      <w:r>
        <w:rPr>
          <w:rFonts w:eastAsia="Calibri"/>
        </w:rPr>
      </w:r>
      <w:r>
        <w:rPr>
          <w:rFonts w:eastAsia="Calibri"/>
        </w:rPr>
      </w:r>
    </w:p>
    <w:p>
      <w:pPr>
        <w:jc w:val="right"/>
        <w:spacing w:line="276" w:lineRule="auto"/>
        <w:rPr>
          <w:rFonts w:eastAsia="Calibri"/>
          <w:color w:val="000000"/>
        </w:rPr>
      </w:pPr>
      <w:r>
        <w:rPr>
          <w:rFonts w:eastAsia="Calibri"/>
          <w:color w:val="000000"/>
        </w:rPr>
      </w:r>
      <w:r>
        <w:rPr>
          <w:rFonts w:eastAsia="Calibri"/>
          <w:color w:val="000000"/>
        </w:rPr>
      </w:r>
      <w:r>
        <w:rPr>
          <w:rFonts w:eastAsia="Calibri"/>
          <w:color w:val="000000"/>
        </w:rPr>
      </w:r>
    </w:p>
    <w:p>
      <w:pPr>
        <w:jc w:val="right"/>
        <w:spacing w:line="276" w:lineRule="auto"/>
        <w:rPr>
          <w:rFonts w:eastAsia="Calibri"/>
          <w:color w:val="000000"/>
        </w:rPr>
      </w:pPr>
      <w:r>
        <w:rPr>
          <w:rFonts w:eastAsia="Calibri"/>
          <w:color w:val="000000"/>
        </w:rPr>
        <w:t xml:space="preserve">Таблица 1.1</w:t>
      </w:r>
      <w:r>
        <w:rPr>
          <w:rFonts w:eastAsia="Calibri"/>
          <w:color w:val="000000"/>
        </w:rPr>
      </w:r>
      <w:r>
        <w:rPr>
          <w:rFonts w:eastAsia="Calibri"/>
          <w:color w:val="000000"/>
        </w:rPr>
      </w:r>
    </w:p>
    <w:p>
      <w:pPr>
        <w:ind w:firstLine="0"/>
        <w:jc w:val="center"/>
        <w:spacing w:line="276" w:lineRule="auto"/>
        <w:rPr>
          <w:b/>
        </w:rPr>
      </w:pPr>
      <w:r>
        <w:rPr>
          <w:b/>
        </w:rPr>
        <w:t xml:space="preserve">Численность постоянного населения на 1 января 202</w:t>
      </w:r>
      <w:r>
        <w:rPr>
          <w:b/>
        </w:rPr>
        <w:t xml:space="preserve">3</w:t>
      </w:r>
      <w:r>
        <w:rPr>
          <w:b/>
        </w:rPr>
        <w:t xml:space="preserve"> года</w:t>
      </w:r>
      <w:r>
        <w:rPr>
          <w:b/>
        </w:rPr>
      </w:r>
      <w:r>
        <w:rPr>
          <w:b/>
        </w:rPr>
      </w:r>
    </w:p>
    <w:p>
      <w:pPr>
        <w:ind w:firstLine="0"/>
        <w:jc w:val="center"/>
        <w:spacing w:line="276" w:lineRule="auto"/>
        <w:rPr>
          <w:b/>
        </w:rPr>
      </w:pPr>
      <w:r>
        <w:rPr>
          <w:b/>
        </w:rPr>
        <w:t xml:space="preserve">а также в среднем за год, предшествующий </w:t>
      </w:r>
      <w:r>
        <w:rPr>
          <w:b/>
        </w:rPr>
        <w:t xml:space="preserve">отчетному</w:t>
      </w:r>
      <w:r>
        <w:rPr>
          <w:b/>
        </w:rPr>
        <w:t xml:space="preserve"> </w:t>
      </w:r>
      <w:r>
        <w:rPr>
          <w:b/>
        </w:rPr>
        <w:br/>
      </w:r>
      <w:r>
        <w:rPr>
          <w:b/>
        </w:rPr>
        <w:t xml:space="preserve"> (с разбивкой по половозрастным характеристикам)</w:t>
      </w:r>
      <w:r>
        <w:rPr>
          <w:b/>
        </w:rPr>
      </w:r>
      <w:r>
        <w:rPr>
          <w:b/>
        </w:rP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r>
              <w:rPr>
                <w:color w:val="000000"/>
                <w:sz w:val="24"/>
                <w:szCs w:val="24"/>
              </w:rP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r>
              <w:rPr>
                <w:color w:val="000000"/>
                <w:sz w:val="24"/>
                <w:szCs w:val="24"/>
              </w:rPr>
            </w:r>
          </w:p>
        </w:tc>
      </w:tr>
      <w:tr>
        <w:trPr>
          <w:trHeight w:val="227"/>
        </w:trPr>
        <w:tc>
          <w:tcPr>
            <w:tcBorders>
              <w:top w:val="single" w:color="auto" w:sz="4" w:space="0"/>
              <w:left w:val="single" w:color="auto" w:sz="4" w:space="0"/>
              <w:bottom w:val="single" w:color="auto" w:sz="4" w:space="0"/>
              <w:right w:val="single" w:color="auto"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1 730 353</w:t>
            </w:r>
            <w:r>
              <w:rPr>
                <w:b/>
                <w:bCs/>
                <w:color w:val="000000"/>
                <w:sz w:val="24"/>
                <w:szCs w:val="24"/>
              </w:rPr>
            </w:r>
            <w:r>
              <w:rPr>
                <w:b/>
                <w:bCs/>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833 816</w:t>
            </w:r>
            <w:r>
              <w:rPr>
                <w:b/>
                <w:bCs/>
                <w:color w:val="000000"/>
                <w:sz w:val="24"/>
                <w:szCs w:val="24"/>
              </w:rPr>
            </w:r>
            <w:r>
              <w:rPr>
                <w:b/>
                <w:bCs/>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896 537</w:t>
            </w:r>
            <w:r>
              <w:rPr>
                <w:b/>
                <w:bCs/>
                <w:color w:val="000000"/>
                <w:sz w:val="24"/>
                <w:szCs w:val="24"/>
              </w:rPr>
            </w:r>
            <w:r>
              <w:rPr>
                <w:b/>
                <w:bCs/>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1 136 101</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557 247</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578 854</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433 003</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222 335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210 668</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344 069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176 525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167 544</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368 056</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188 899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179 157</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88 934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45 810</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43 124</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127 170</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63 572</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63 598</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95 675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49 419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46 256</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134 938</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66 998</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67 940</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169 455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83 725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85 730</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150 397</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72 421</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77 976</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130 210</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61 775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68 435</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489 505</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213 571</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275 934</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113 011</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54 516</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58 495</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104 302</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49 088</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55 214</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272 192</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109 967</w:t>
            </w: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162 225</w:t>
            </w:r>
            <w:r>
              <w:rPr>
                <w:color w:val="000000"/>
                <w:sz w:val="24"/>
                <w:szCs w:val="24"/>
              </w:rPr>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предшествующий </w:t>
            </w:r>
            <w:r>
              <w:rPr>
                <w:color w:val="000000"/>
                <w:sz w:val="24"/>
                <w:szCs w:val="24"/>
              </w:rPr>
              <w:t xml:space="preserve">отчетному</w:t>
            </w:r>
            <w:r>
              <w:rPr>
                <w:color w:val="000000"/>
                <w:sz w:val="24"/>
                <w:szCs w:val="24"/>
              </w:rPr>
            </w:r>
            <w:r>
              <w:rPr>
                <w:color w:val="000000"/>
                <w:sz w:val="24"/>
                <w:szCs w:val="24"/>
              </w:rP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1 722 058</w:t>
            </w:r>
            <w:r>
              <w:rPr>
                <w:color w:val="000000"/>
                <w:sz w:val="24"/>
                <w:szCs w:val="24"/>
              </w:rPr>
            </w:r>
            <w:r>
              <w:rPr>
                <w:color w:val="000000"/>
                <w:sz w:val="24"/>
                <w:szCs w:val="24"/>
              </w:rPr>
            </w:r>
          </w:p>
        </w:tc>
      </w:tr>
    </w:tbl>
    <w:p>
      <w:pPr>
        <w:ind w:firstLine="709"/>
        <w:spacing w:line="276" w:lineRule="auto"/>
      </w:pPr>
      <w: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r>
        <w:rPr>
          <w:rFonts w:eastAsia="Calibri"/>
          <w:color w:val="000000"/>
          <w:highlight w:val="yellow"/>
        </w:rPr>
      </w:r>
    </w:p>
    <w:p>
      <w:pPr>
        <w:jc w:val="right"/>
        <w:spacing w:line="276" w:lineRule="auto"/>
        <w:rPr>
          <w:rFonts w:eastAsia="Calibri"/>
          <w:color w:val="000000"/>
        </w:rPr>
      </w:pPr>
      <w:r>
        <w:rPr>
          <w:rFonts w:eastAsia="Calibri"/>
          <w:color w:val="000000"/>
        </w:rPr>
        <w:t xml:space="preserve">Таблица 1</w:t>
      </w:r>
      <w:r>
        <w:rPr>
          <w:rFonts w:eastAsia="Calibri"/>
          <w:color w:val="000000"/>
        </w:rPr>
        <w:t xml:space="preserve">.2</w:t>
      </w:r>
      <w:r>
        <w:rPr>
          <w:rFonts w:eastAsia="Calibri"/>
          <w:color w:val="000000"/>
        </w:rPr>
      </w:r>
      <w:r>
        <w:rPr>
          <w:rFonts w:eastAsia="Calibri"/>
          <w:color w:val="000000"/>
        </w:rPr>
      </w:r>
    </w:p>
    <w:p>
      <w:pPr>
        <w:ind w:firstLine="0"/>
        <w:jc w:val="center"/>
        <w:spacing w:line="276" w:lineRule="auto"/>
        <w:rPr>
          <w:b/>
        </w:rPr>
      </w:pPr>
      <w:r>
        <w:rPr>
          <w:b/>
        </w:rPr>
        <w:t xml:space="preserve">Численность постоянного населения </w:t>
      </w:r>
      <w:r>
        <w:rPr>
          <w:b/>
        </w:rPr>
        <w:br/>
      </w:r>
      <w:r>
        <w:rPr>
          <w:b/>
        </w:rPr>
        <w:t xml:space="preserve">на 1 января </w:t>
      </w:r>
      <w:r>
        <w:rPr>
          <w:b/>
        </w:rPr>
        <w:t xml:space="preserve">202</w:t>
      </w:r>
      <w:r>
        <w:rPr>
          <w:b/>
        </w:rPr>
        <w:t xml:space="preserve">4</w:t>
      </w:r>
      <w:r>
        <w:rPr>
          <w:b/>
        </w:rPr>
        <w:t xml:space="preserve"> года</w:t>
      </w:r>
      <w:r>
        <w:rPr>
          <w:b/>
        </w:rPr>
        <w:t xml:space="preserve">, а также в среднем за год </w:t>
      </w:r>
      <w:r>
        <w:rPr>
          <w:b/>
        </w:rPr>
        <w:br/>
      </w:r>
      <w:r>
        <w:rPr>
          <w:b/>
        </w:rPr>
        <w:t xml:space="preserve">(с разбивкой по половозрастным характеристикам)</w:t>
      </w:r>
      <w:r>
        <w:rPr>
          <w:b/>
        </w:rPr>
      </w:r>
      <w:r>
        <w:rPr>
          <w:b/>
        </w:rP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ffffff" w:fill="ffffff"/>
            <w:tcBorders>
              <w:top w:val="single" w:color="000000" w:sz="4" w:space="0"/>
              <w:left w:val="single" w:color="000000" w:sz="4" w:space="0"/>
              <w:bottom w:val="single" w:color="000000" w:sz="4" w:space="0"/>
              <w:right w:val="single" w:color="000000"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r>
              <w:rPr>
                <w:color w:val="000000"/>
                <w:sz w:val="24"/>
                <w:szCs w:val="24"/>
              </w:rPr>
            </w:r>
          </w:p>
        </w:tc>
      </w:tr>
      <w:tr>
        <w:trPr>
          <w:trHeight w:val="227"/>
        </w:trPr>
        <w:tc>
          <w:tcPr>
            <w:tcBorders>
              <w:top w:val="single" w:color="000000" w:sz="4" w:space="0"/>
              <w:left w:val="single" w:color="000000" w:sz="4" w:space="0"/>
              <w:bottom w:val="single" w:color="000000" w:sz="4" w:space="0"/>
              <w:right w:val="single" w:color="000000"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1 759 386</w:t>
            </w:r>
            <w:r>
              <w:rPr>
                <w:b/>
                <w:bCs/>
                <w:color w:val="000000"/>
                <w:sz w:val="24"/>
                <w:szCs w:val="24"/>
              </w:rPr>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845 480</w:t>
            </w:r>
            <w:r>
              <w:rPr>
                <w:b/>
                <w:bCs/>
                <w:color w:val="000000"/>
                <w:sz w:val="24"/>
                <w:szCs w:val="24"/>
              </w:rPr>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913 906</w:t>
            </w:r>
            <w:r>
              <w:rPr>
                <w:b/>
                <w:bCs/>
                <w:color w:val="000000"/>
                <w:sz w:val="24"/>
                <w:szCs w:val="24"/>
              </w:rPr>
            </w:r>
            <w:r>
              <w:rPr>
                <w:b/>
                <w:bCs/>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1 148 398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562 171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586 227</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437 518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224 607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212 911</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344 025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176 488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167 537</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369 098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189 279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179 819</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93 493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48 119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45 374</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131 708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65 231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66 477</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96 604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49 755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46 849</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125 394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62 058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63 336</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169 430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83 942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85 488</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156 129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74 973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81 156</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135 397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64 295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71 102</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507 206</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220 619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286 587</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115 886</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55 565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60 321</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102 212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48 275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53 937</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289 108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116 779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172 329</w:t>
            </w:r>
            <w:r>
              <w:rPr>
                <w:color w:val="000000"/>
                <w:sz w:val="24"/>
                <w:szCs w:val="24"/>
              </w:rPr>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w:t>
            </w:r>
            <w:r>
              <w:rPr>
                <w:color w:val="000000"/>
                <w:sz w:val="24"/>
                <w:szCs w:val="24"/>
              </w:rPr>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1 744 869</w:t>
            </w:r>
            <w:r>
              <w:rPr>
                <w:color w:val="000000"/>
                <w:sz w:val="24"/>
                <w:szCs w:val="24"/>
              </w:rPr>
            </w:r>
            <w:r>
              <w:rPr>
                <w:color w:val="000000"/>
                <w:sz w:val="24"/>
                <w:szCs w:val="24"/>
              </w:rPr>
            </w:r>
          </w:p>
        </w:tc>
      </w:tr>
    </w:tbl>
    <w:p>
      <w:pPr>
        <w:ind w:firstLine="709"/>
        <w:spacing w:line="240" w:lineRule="auto"/>
      </w:pPr>
      <w:r/>
      <w:r/>
    </w:p>
    <w:p>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w:t>
      </w:r>
      <w:r>
        <w:rPr>
          <w:rFonts w:eastAsia="Calibri"/>
        </w:rPr>
        <w:t xml:space="preserve">Средний возраст населения Ханты-Мансийского автономного округа </w:t>
      </w:r>
      <w:r>
        <w:rPr>
          <w:rFonts w:eastAsia="Calibri"/>
        </w:rPr>
        <w:t xml:space="preserve">– Югры на 1 января 2024 года составил 36,8 лет, увеличившись на 0,35 лет в сравнении с 2022 годом (на 1 января 2023 года – 36,45). Средний возраст граждан автономного округа на 4,17 года моложе, чем средний возраст граждан Российской Федерации (40,97 лет).</w:t>
      </w:r>
      <w:r>
        <w:rPr>
          <w:rFonts w:eastAsia="Calibri"/>
        </w:rPr>
        <w:t xml:space="preserve"> </w:t>
      </w:r>
      <w:r>
        <w:rPr>
          <w:rFonts w:eastAsia="Calibri"/>
        </w:rPr>
        <w:t xml:space="preserve">На 1 января 2024 года в структуре населения автономного округа:</w:t>
      </w:r>
      <w:r>
        <w:rPr>
          <w:rFonts w:eastAsia="Calibri"/>
        </w:rPr>
      </w:r>
      <w:r>
        <w:rPr>
          <w:rFonts w:eastAsia="Calibri"/>
        </w:rPr>
      </w:r>
    </w:p>
    <w:p>
      <w:pPr>
        <w:ind w:firstLine="709"/>
        <w:spacing w:line="276" w:lineRule="auto"/>
        <w:rPr>
          <w:rFonts w:eastAsia="Calibri"/>
        </w:rPr>
      </w:pPr>
      <w:r>
        <w:rPr>
          <w:rFonts w:eastAsia="Calibri"/>
        </w:rPr>
        <w:t xml:space="preserve">- доля лиц моложе трудоспособного возраста составила 22,4% (на 1 января 2023 года – 22,5%), что на 4,0 % выше, чем в среднем по России (18,4%);</w:t>
      </w:r>
      <w:r>
        <w:rPr>
          <w:rFonts w:eastAsia="Calibri"/>
        </w:rPr>
      </w:r>
      <w:r>
        <w:rPr>
          <w:rFonts w:eastAsia="Calibri"/>
        </w:rPr>
      </w:r>
    </w:p>
    <w:p>
      <w:pPr>
        <w:ind w:firstLine="709"/>
        <w:spacing w:line="276" w:lineRule="auto"/>
        <w:rPr>
          <w:rFonts w:eastAsia="Calibri"/>
        </w:rPr>
      </w:pPr>
      <w:r>
        <w:rPr>
          <w:rFonts w:eastAsia="Calibri"/>
        </w:rPr>
        <w:t xml:space="preserve">- доля трудоспособного населения – 61,6% (на 1 января 2023 года – 61,5%), что на 3,6% выше, чем по Российской Федерации (58,0%);</w:t>
      </w:r>
      <w:r>
        <w:rPr>
          <w:rFonts w:eastAsia="Calibri"/>
        </w:rPr>
      </w:r>
      <w:r>
        <w:rPr>
          <w:rFonts w:eastAsia="Calibri"/>
        </w:rPr>
      </w:r>
    </w:p>
    <w:p>
      <w:pPr>
        <w:ind w:firstLine="709"/>
        <w:spacing w:line="276" w:lineRule="auto"/>
        <w:rPr>
          <w:rFonts w:eastAsia="Calibri"/>
        </w:rPr>
      </w:pPr>
      <w:r>
        <w:rPr>
          <w:rFonts w:eastAsia="Calibri"/>
        </w:rPr>
        <w:t xml:space="preserve">- доля граждан старше трудоспособного возраста – 16,0% (на 1 января 2023 года – 16,6%), что на 7,7% ниже, чем в среднем по Российской Федерации (23,7%).</w:t>
      </w:r>
      <w:r>
        <w:rPr>
          <w:rFonts w:eastAsia="Calibri"/>
        </w:rPr>
      </w:r>
      <w:r>
        <w:rPr>
          <w:rFonts w:eastAsia="Calibri"/>
        </w:rPr>
      </w:r>
    </w:p>
    <w:p>
      <w:pPr>
        <w:ind w:firstLine="709"/>
        <w:spacing w:line="276" w:lineRule="auto"/>
        <w:rPr>
          <w:rFonts w:eastAsia="Calibri"/>
        </w:rPr>
      </w:pPr>
      <w:r>
        <w:rPr>
          <w:rFonts w:eastAsia="Calibri"/>
        </w:rPr>
        <w:t xml:space="preserve">По итогам 2023 года в</w:t>
      </w:r>
      <w:r>
        <w:rPr>
          <w:rFonts w:eastAsia="Calibri"/>
        </w:rPr>
        <w:t xml:space="preserve"> структуре населения </w:t>
      </w:r>
      <w:r>
        <w:rPr>
          <w:rFonts w:eastAsia="Calibri"/>
        </w:rPr>
        <w:t xml:space="preserve">Югры</w:t>
      </w:r>
      <w:r>
        <w:rPr>
          <w:rFonts w:eastAsia="Calibri"/>
        </w:rPr>
        <w:t xml:space="preserve"> в сравнении с 2022 годом наблюдается увеличение числа граждан трудоспособного возраста на </w:t>
      </w:r>
      <w:r>
        <w:rPr>
          <w:rFonts w:eastAsia="Calibri"/>
        </w:rPr>
        <w:t xml:space="preserve">0,1%, уменьшение лиц моложе трудоспособного возраста на 0,1% и старше трудоспособного населения на 0,6%</w:t>
      </w:r>
      <w:r>
        <w:rPr>
          <w:rStyle w:val="1655"/>
          <w:rFonts w:eastAsia="Calibri"/>
        </w:rPr>
        <w:footnoteReference w:id="2"/>
      </w:r>
      <w:r>
        <w:rPr>
          <w:rFonts w:eastAsia="Calibri"/>
        </w:rPr>
        <w:t xml:space="preserve">.</w:t>
      </w:r>
      <w:r>
        <w:rPr>
          <w:rFonts w:eastAsia="Calibri"/>
        </w:rPr>
      </w:r>
      <w:r>
        <w:rPr>
          <w:rFonts w:eastAsia="Calibri"/>
        </w:rPr>
      </w:r>
    </w:p>
    <w:p>
      <w:pPr>
        <w:ind w:firstLine="709"/>
        <w:spacing w:line="276" w:lineRule="auto"/>
      </w:pPr>
      <w:r>
        <w:t xml:space="preserve">И</w:t>
      </w:r>
      <w:r>
        <w:t xml:space="preserve">тоги </w:t>
      </w:r>
      <w:r>
        <w:t xml:space="preserve">социально-экономического развития Ханты-Мансийского автономного округа – Югры </w:t>
      </w:r>
      <w:r>
        <w:t xml:space="preserve">(см. табл. 2) на начало 2024 года</w:t>
      </w:r>
      <w:r>
        <w:t xml:space="preserve"> характеризуют </w:t>
      </w:r>
      <w:r>
        <w:t xml:space="preserve">его </w:t>
      </w:r>
      <w:r>
        <w:t xml:space="preserve">устойчивое </w:t>
      </w:r>
      <w:r>
        <w:rPr>
          <w:b/>
          <w:i/>
        </w:rPr>
        <w:t xml:space="preserve">социально-экономическое положение</w:t>
      </w:r>
      <w:r>
        <w:t xml:space="preserve">.</w:t>
      </w:r>
      <w:r/>
    </w:p>
    <w:p>
      <w:pPr>
        <w:ind w:firstLine="709"/>
        <w:jc w:val="right"/>
        <w:spacing w:line="276" w:lineRule="auto"/>
      </w:pPr>
      <w:r>
        <w:t xml:space="preserve">Таблица 2</w:t>
      </w:r>
      <w:r/>
    </w:p>
    <w:p>
      <w:pPr>
        <w:jc w:val="center"/>
        <w:spacing w:line="276" w:lineRule="auto"/>
        <w:widowControl w:val="off"/>
        <w:rPr>
          <w:b/>
        </w:rPr>
      </w:pPr>
      <w:r>
        <w:rPr>
          <w:b/>
        </w:rPr>
        <w:t xml:space="preserve">Динамика социально-экономического развития</w:t>
      </w:r>
      <w:r>
        <w:rPr>
          <w:b/>
        </w:rPr>
        <w:t xml:space="preserve"> </w:t>
      </w:r>
      <w:r>
        <w:rPr>
          <w:b/>
        </w:rPr>
      </w:r>
      <w:r>
        <w:rPr>
          <w:b/>
        </w:rPr>
      </w:r>
    </w:p>
    <w:p>
      <w:pPr>
        <w:jc w:val="center"/>
        <w:spacing w:line="276" w:lineRule="auto"/>
        <w:widowControl w:val="off"/>
        <w:rPr>
          <w:b/>
        </w:rPr>
      </w:pPr>
      <w:r>
        <w:rPr>
          <w:b/>
        </w:rPr>
        <w:t xml:space="preserve">Ханты-Мансийского автономного округа – Югры</w:t>
      </w:r>
      <w:r>
        <w:rPr>
          <w:b/>
        </w:rPr>
      </w:r>
      <w:r>
        <w:rPr>
          <w:b/>
        </w:rPr>
      </w:r>
    </w:p>
    <w:tbl>
      <w:tblPr>
        <w:tblW w:w="9351" w:type="dxa"/>
        <w:tblInd w:w="113" w:type="dxa"/>
        <w:tblLook w:val="04A0" w:firstRow="1" w:lastRow="0" w:firstColumn="1" w:lastColumn="0" w:noHBand="0" w:noVBand="1"/>
      </w:tblPr>
      <w:tblGrid>
        <w:gridCol w:w="4815"/>
        <w:gridCol w:w="1559"/>
        <w:gridCol w:w="1559"/>
        <w:gridCol w:w="1418"/>
      </w:tblGrid>
      <w:tr>
        <w:trPr>
          <w:trHeight w:val="330"/>
        </w:trPr>
        <w:tc>
          <w:tcPr>
            <w:shd w:val="clear" w:color="ffffff" w:fill="ffffff"/>
            <w:tcBorders>
              <w:top w:val="single" w:color="000000" w:sz="4" w:space="0"/>
              <w:left w:val="single" w:color="000000" w:sz="4" w:space="0"/>
              <w:bottom w:val="single" w:color="000000" w:sz="4" w:space="0"/>
              <w:right w:val="single" w:color="000000" w:sz="4" w:space="0"/>
            </w:tcBorders>
            <w:tcW w:w="4815" w:type="dxa"/>
            <w:vAlign w:val="center"/>
            <w:vMerge w:val="restart"/>
            <w:textDirection w:val="lrTb"/>
            <w:noWrap w:val="false"/>
          </w:tcPr>
          <w:p>
            <w:pPr>
              <w:ind w:firstLine="0"/>
              <w:jc w:val="center"/>
              <w:spacing w:line="240" w:lineRule="auto"/>
              <w:rPr>
                <w:color w:val="000000"/>
                <w:sz w:val="24"/>
                <w:szCs w:val="24"/>
              </w:rPr>
            </w:pPr>
            <w:r>
              <w:rPr>
                <w:color w:val="000000"/>
                <w:sz w:val="24"/>
                <w:szCs w:val="24"/>
              </w:rPr>
              <w:t xml:space="preserve">Показатели</w:t>
            </w:r>
            <w:r>
              <w:rPr>
                <w:color w:val="000000"/>
                <w:sz w:val="24"/>
                <w:szCs w:val="24"/>
              </w:rPr>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536"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Январь-декабрь</w:t>
            </w:r>
            <w:r>
              <w:rPr>
                <w:color w:val="000000"/>
                <w:sz w:val="24"/>
                <w:szCs w:val="24"/>
              </w:rPr>
            </w:r>
            <w:r>
              <w:rPr>
                <w:color w:val="000000"/>
                <w:sz w:val="24"/>
                <w:szCs w:val="24"/>
              </w:rPr>
            </w:r>
          </w:p>
        </w:tc>
      </w:tr>
      <w:tr>
        <w:trPr>
          <w:trHeight w:val="315"/>
        </w:trPr>
        <w:tc>
          <w:tcPr>
            <w:tcBorders>
              <w:top w:val="single" w:color="000000" w:sz="4" w:space="0"/>
              <w:left w:val="single" w:color="000000" w:sz="4" w:space="0"/>
              <w:bottom w:val="single" w:color="000000" w:sz="4" w:space="0"/>
              <w:right w:val="single" w:color="000000" w:sz="4" w:space="0"/>
            </w:tcBorders>
            <w:tcW w:w="4815"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2023</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промышленного производства,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98,5</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898,2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877,8</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955,3</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Среднедушевые доходы населения, рублей в месяц </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56 643,6</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66 517,0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72 634,0</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Реальные денежные доходы населения,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107,7</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85 447,0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97 562,0</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108 148,0</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Реальная заработная плата,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108,4</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оборота розничной торговли,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94,7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109,4</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платных услуг населению,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119,2</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103,9</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104,3</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потребительских цен и тарифов на конец периода,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104,6</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4 096,7</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4 628,3</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3 904,8</w:t>
            </w:r>
            <w:r>
              <w:rPr>
                <w:color w:val="000000"/>
                <w:sz w:val="24"/>
                <w:szCs w:val="24"/>
              </w:rPr>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в % к предыдущему году</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0,5</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0,4</w:t>
            </w: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0,3</w:t>
            </w:r>
            <w:r>
              <w:rPr>
                <w:color w:val="000000"/>
                <w:sz w:val="24"/>
                <w:szCs w:val="24"/>
              </w:rPr>
            </w:r>
            <w:r>
              <w:rPr>
                <w:color w:val="000000"/>
                <w:sz w:val="24"/>
                <w:szCs w:val="24"/>
              </w:rPr>
            </w:r>
          </w:p>
        </w:tc>
      </w:tr>
    </w:tbl>
    <w:p>
      <w:pPr>
        <w:jc w:val="center"/>
        <w:spacing w:line="276" w:lineRule="auto"/>
        <w:widowControl w:val="off"/>
        <w:rPr>
          <w:b/>
          <w:highlight w:val="yellow"/>
        </w:rPr>
      </w:pPr>
      <w:r>
        <w:rPr>
          <w:b/>
          <w:highlight w:val="yellow"/>
        </w:rPr>
      </w:r>
      <w:r>
        <w:rPr>
          <w:b/>
          <w:highlight w:val="yellow"/>
        </w:rPr>
      </w:r>
      <w:r>
        <w:rPr>
          <w:b/>
          <w:highlight w:val="yellow"/>
        </w:rPr>
      </w:r>
    </w:p>
    <w:p>
      <w:pPr>
        <w:ind w:firstLine="0"/>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highlight w:val="yellow"/>
        </w:rPr>
        <w:outlineLvl w:val="1"/>
      </w:pPr>
      <w:r>
        <w:rPr>
          <w:b/>
          <w:highlight w:val="yellow"/>
        </w:rPr>
      </w:r>
      <w:r>
        <w:rPr>
          <w:b/>
          <w:highlight w:val="yellow"/>
        </w:rPr>
      </w:r>
      <w:r>
        <w:rPr>
          <w:b/>
          <w:highlight w:val="yellow"/>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b/>
          <w:i/>
          <w:sz w:val="28"/>
          <w:szCs w:val="28"/>
          <w:highlight w:val="white"/>
        </w:rPr>
        <w:t xml:space="preserve">Хозяйствующие субъекты</w:t>
      </w:r>
      <w:r>
        <w:rPr>
          <w:b/>
          <w:sz w:val="28"/>
          <w:szCs w:val="28"/>
          <w:highlight w:val="white"/>
        </w:rPr>
        <w:t xml:space="preserve">.</w:t>
      </w:r>
      <w:r>
        <w:rPr>
          <w:sz w:val="28"/>
          <w:szCs w:val="28"/>
          <w:highlight w:val="white"/>
        </w:rPr>
        <w:t xml:space="preserve"> </w:t>
      </w:r>
      <w:r>
        <w:rPr>
          <w:sz w:val="28"/>
          <w:szCs w:val="28"/>
          <w:highlight w:val="white"/>
        </w:rPr>
        <w:t xml:space="preserve">На начало 2024 года в</w:t>
      </w:r>
      <w:r>
        <w:rPr>
          <w:sz w:val="28"/>
          <w:szCs w:val="28"/>
          <w:highlight w:val="white"/>
        </w:rPr>
        <w:t xml:space="preserve"> автономном</w:t>
      </w:r>
      <w:r>
        <w:rPr>
          <w:sz w:val="28"/>
          <w:szCs w:val="28"/>
          <w:highlight w:val="white"/>
        </w:rPr>
        <w:t xml:space="preserve"> округе учтено 28,1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(19,1%), строи</w:t>
      </w:r>
      <w:r>
        <w:rPr>
          <w:sz w:val="28"/>
          <w:szCs w:val="28"/>
          <w:highlight w:val="white"/>
        </w:rPr>
        <w:t xml:space="preserve">тельство (13,5%), транспортировка и хранение (10,6%), деятельность профессиональная, научная и техническая (7,4%), деятельность по операциям с недвижимым имуществом (7,3%). Основная часть (85,6%) учтенных юридических лиц имели частную форму собственности. </w:t>
      </w:r>
      <w:r>
        <w:rPr>
          <w:sz w:val="28"/>
          <w:szCs w:val="28"/>
          <w:highlight w:val="white"/>
        </w:rPr>
      </w:r>
      <w:r>
        <w:rPr>
          <w:sz w:val="28"/>
          <w:szCs w:val="28"/>
          <w:highlight w:val="white"/>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Финансово-хозяйственная деятельность организаций по данным бухгалтерской (финансовой) отчетности за 2023 год характеризовалась положительным сальдированным результатом в размере 2535,8 млрд</w:t>
      </w:r>
      <w:r>
        <w:rPr>
          <w:sz w:val="28"/>
          <w:szCs w:val="28"/>
          <w:highlight w:val="white"/>
        </w:rPr>
        <w:t xml:space="preserve">.</w:t>
      </w:r>
      <w:r>
        <w:rPr>
          <w:sz w:val="28"/>
          <w:szCs w:val="28"/>
          <w:highlight w:val="white"/>
        </w:rPr>
        <w:t xml:space="preserve"> рублей (за 2022 год – 84,3 млрд</w:t>
      </w:r>
      <w:r>
        <w:rPr>
          <w:sz w:val="28"/>
          <w:szCs w:val="28"/>
          <w:highlight w:val="white"/>
        </w:rPr>
        <w:t xml:space="preserve">.</w:t>
      </w:r>
      <w:r>
        <w:rPr>
          <w:sz w:val="28"/>
          <w:szCs w:val="28"/>
          <w:highlight w:val="white"/>
        </w:rPr>
        <w:t xml:space="preserve">). </w:t>
      </w:r>
      <w:r>
        <w:rPr>
          <w:sz w:val="28"/>
          <w:szCs w:val="28"/>
          <w:highlight w:val="white"/>
        </w:rPr>
      </w:r>
      <w:r>
        <w:rPr>
          <w:sz w:val="28"/>
          <w:szCs w:val="28"/>
          <w:highlight w:val="white"/>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Доля прибыльных организаций составила 81,2% от общего количества с общей суммой прибыли 2646,0 млрд рублей (в 2022 году – соответственно 80,9% и 672,8 млрд</w:t>
      </w:r>
      <w:r>
        <w:rPr>
          <w:sz w:val="28"/>
          <w:szCs w:val="28"/>
          <w:highlight w:val="white"/>
        </w:rPr>
        <w:t xml:space="preserve">.</w:t>
      </w:r>
      <w:r>
        <w:rPr>
          <w:sz w:val="28"/>
          <w:szCs w:val="28"/>
          <w:highlight w:val="white"/>
        </w:rPr>
        <w:t xml:space="preserve"> рублей). </w:t>
      </w:r>
      <w:r>
        <w:rPr>
          <w:sz w:val="28"/>
          <w:szCs w:val="28"/>
          <w:highlight w:val="white"/>
        </w:rPr>
        <w:t xml:space="preserve">На долю </w:t>
      </w:r>
      <w:r>
        <w:rPr>
          <w:sz w:val="28"/>
          <w:szCs w:val="28"/>
          <w:highlight w:val="white"/>
        </w:rPr>
        <w:t xml:space="preserve">убыточных организаций </w:t>
      </w:r>
      <w:r>
        <w:rPr>
          <w:sz w:val="28"/>
          <w:szCs w:val="28"/>
          <w:highlight w:val="white"/>
        </w:rPr>
        <w:t xml:space="preserve">пришлось </w:t>
      </w:r>
      <w:r>
        <w:rPr>
          <w:sz w:val="28"/>
          <w:szCs w:val="28"/>
          <w:highlight w:val="white"/>
        </w:rPr>
        <w:t xml:space="preserve">18,8% с общей суммой убытка 110,1 млрд рублей (в 2022 году – соответственно 19,1% и 588,6 млрд рублей)</w:t>
      </w:r>
      <w:r>
        <w:rPr>
          <w:rStyle w:val="1655"/>
          <w:sz w:val="28"/>
          <w:szCs w:val="28"/>
          <w:highlight w:val="white"/>
        </w:rPr>
        <w:footnoteReference w:id="3"/>
      </w:r>
      <w:r>
        <w:rPr>
          <w:sz w:val="28"/>
          <w:szCs w:val="28"/>
          <w:highlight w:val="white"/>
        </w:rPr>
        <w:t xml:space="preserve">.</w:t>
      </w:r>
      <w:r>
        <w:rPr>
          <w:sz w:val="28"/>
          <w:szCs w:val="28"/>
          <w:highlight w:val="white"/>
        </w:rPr>
      </w:r>
      <w:r>
        <w:rPr>
          <w:sz w:val="28"/>
          <w:szCs w:val="28"/>
          <w:highlight w:val="white"/>
        </w:rPr>
      </w:r>
    </w:p>
    <w:p>
      <w:pPr>
        <w:ind w:firstLine="709"/>
        <w:spacing w:line="276" w:lineRule="auto"/>
        <w:shd w:val="clear" w:color="ffffff" w:themeColor="background1" w:fill="ffffff" w:themeFill="background1"/>
        <w:rPr>
          <w:highlight w:val="white"/>
        </w:rPr>
      </w:pPr>
      <w:r>
        <w:rPr>
          <w:b/>
          <w:i/>
          <w:highlight w:val="white"/>
        </w:rPr>
        <w:t xml:space="preserve">Инвестиции</w:t>
      </w:r>
      <w:r>
        <w:rPr>
          <w:b/>
          <w:highlight w:val="white"/>
        </w:rPr>
        <w:t xml:space="preserve">.</w:t>
      </w:r>
      <w:r>
        <w:rPr>
          <w:highlight w:val="white"/>
        </w:rPr>
        <w:t xml:space="preserve"> </w:t>
      </w:r>
      <w:r>
        <w:rPr>
          <w:highlight w:val="white"/>
        </w:rPr>
        <w:t xml:space="preserve">За</w:t>
      </w:r>
      <w:r>
        <w:rPr>
          <w:highlight w:val="white"/>
        </w:rPr>
        <w:t xml:space="preserve"> 2023 год в экономику и социальную сферу организациями (без субъектов м</w:t>
      </w:r>
      <w:r>
        <w:rPr>
          <w:highlight w:val="white"/>
        </w:rPr>
        <w:t xml:space="preserve">а</w:t>
      </w:r>
      <w:r>
        <w:rPr>
          <w:highlight w:val="white"/>
        </w:rPr>
        <w:t xml:space="preserve">лого предпринимательства и объема инвестиций, не наблюдаемых прямыми статистическими мет</w:t>
      </w:r>
      <w:r>
        <w:rPr>
          <w:highlight w:val="white"/>
        </w:rPr>
        <w:t xml:space="preserve">о</w:t>
      </w:r>
      <w:r>
        <w:rPr>
          <w:highlight w:val="white"/>
        </w:rPr>
        <w:t xml:space="preserve">дами) вложено 1482,9 млрд</w:t>
      </w:r>
      <w:r>
        <w:rPr>
          <w:highlight w:val="white"/>
        </w:rPr>
        <w:t xml:space="preserve">.</w:t>
      </w:r>
      <w:r>
        <w:rPr>
          <w:highlight w:val="white"/>
        </w:rPr>
        <w:t xml:space="preserve"> рублей инвестиций в основной капитал, в расчете на душу населения значение показателя сост</w:t>
      </w:r>
      <w:r>
        <w:rPr>
          <w:highlight w:val="white"/>
        </w:rPr>
        <w:t xml:space="preserve">а</w:t>
      </w:r>
      <w:r>
        <w:rPr>
          <w:highlight w:val="white"/>
        </w:rPr>
        <w:t xml:space="preserve">вило 849,8 тыс. рублей.</w:t>
      </w:r>
      <w:r>
        <w:rPr>
          <w:highlight w:val="white"/>
        </w:rPr>
      </w:r>
      <w:r>
        <w:rPr>
          <w:highlight w:val="white"/>
        </w:rPr>
      </w:r>
    </w:p>
    <w:p>
      <w:pPr>
        <w:contextualSpacing/>
        <w:ind w:firstLine="709"/>
        <w:spacing w:line="276" w:lineRule="auto"/>
        <w:shd w:val="clear" w:color="ffffff" w:themeColor="background1" w:fill="ffffff" w:themeFill="background1"/>
        <w:rPr>
          <w:bCs/>
          <w:iCs/>
          <w:highlight w:val="white"/>
        </w:rPr>
      </w:pPr>
      <w:r>
        <w:rPr>
          <w:highlight w:val="white"/>
        </w:rPr>
        <w:t xml:space="preserve">С</w:t>
      </w:r>
      <w:r>
        <w:rPr>
          <w:bCs/>
          <w:iCs/>
          <w:highlight w:val="white"/>
        </w:rPr>
        <w:t xml:space="preserve">обственные средства организаций</w:t>
      </w:r>
      <w:r>
        <w:rPr>
          <w:highlight w:val="white"/>
        </w:rPr>
        <w:t xml:space="preserve"> </w:t>
      </w:r>
      <w:r>
        <w:rPr>
          <w:bCs/>
          <w:iCs/>
          <w:highlight w:val="white"/>
        </w:rPr>
        <w:t xml:space="preserve">(без субъектов малого предпринимательства и объема и</w:t>
      </w:r>
      <w:r>
        <w:rPr>
          <w:bCs/>
          <w:iCs/>
          <w:highlight w:val="white"/>
        </w:rPr>
        <w:t xml:space="preserve">н</w:t>
      </w:r>
      <w:r>
        <w:rPr>
          <w:bCs/>
          <w:iCs/>
          <w:highlight w:val="white"/>
        </w:rPr>
        <w:t xml:space="preserve">вестиций, не наблюдаемых прямыми статистическими методами) составили 87,1% (в 2022 году – 88,0%) от их общего объема. За счет привлеченных средств осуществлялось 12,9% инвестиций (пр</w:t>
      </w:r>
      <w:r>
        <w:rPr>
          <w:bCs/>
          <w:iCs/>
          <w:highlight w:val="white"/>
        </w:rPr>
        <w:t xml:space="preserve">о</w:t>
      </w:r>
      <w:r>
        <w:rPr>
          <w:bCs/>
          <w:iCs/>
          <w:highlight w:val="white"/>
        </w:rPr>
        <w:t xml:space="preserve">тив 12,0% в 2022 году), на д</w:t>
      </w:r>
      <w:r>
        <w:rPr>
          <w:bCs/>
          <w:iCs/>
          <w:highlight w:val="white"/>
        </w:rPr>
        <w:t xml:space="preserve">о</w:t>
      </w:r>
      <w:r>
        <w:rPr>
          <w:bCs/>
          <w:iCs/>
          <w:highlight w:val="white"/>
        </w:rPr>
        <w:t xml:space="preserve">лю средств бюджетов всех уровней приходилось 3,8% (3,0%). </w:t>
      </w:r>
      <w:r>
        <w:rPr>
          <w:bCs/>
          <w:iCs/>
          <w:highlight w:val="white"/>
        </w:rPr>
      </w:r>
      <w:r>
        <w:rPr>
          <w:bCs/>
          <w:iCs/>
          <w:highlight w:val="white"/>
        </w:rPr>
      </w:r>
    </w:p>
    <w:p>
      <w:pPr>
        <w:ind w:firstLine="709"/>
        <w:spacing w:line="276" w:lineRule="auto"/>
        <w:shd w:val="clear" w:color="ffffff" w:themeColor="background1" w:fill="ffffff" w:themeFill="background1"/>
        <w:rPr>
          <w:highlight w:val="white"/>
        </w:rPr>
      </w:pPr>
      <w:r>
        <w:rPr>
          <w:highlight w:val="white"/>
        </w:rPr>
        <w:t xml:space="preserve">Наибольшая инвестиционная активность отмечена в организациях добычи полезных ископа</w:t>
      </w:r>
      <w:r>
        <w:rPr>
          <w:highlight w:val="white"/>
        </w:rPr>
        <w:t xml:space="preserve">е</w:t>
      </w:r>
      <w:r>
        <w:rPr>
          <w:highlight w:val="white"/>
        </w:rPr>
        <w:t xml:space="preserve">мых (85,6% от общего объема инвестиций).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Общий объем финансовых вложений организаций (без субъектов малого предпринимател</w:t>
      </w:r>
      <w:r>
        <w:rPr>
          <w:highlight w:val="white"/>
        </w:rPr>
        <w:t xml:space="preserve">ь</w:t>
      </w:r>
      <w:r>
        <w:rPr>
          <w:highlight w:val="white"/>
        </w:rPr>
        <w:t xml:space="preserve">ства, кредитных организаций, государственных (муниципальных) учреждений, некредитных финанс</w:t>
      </w:r>
      <w:r>
        <w:rPr>
          <w:highlight w:val="white"/>
        </w:rPr>
        <w:t xml:space="preserve">о</w:t>
      </w:r>
      <w:r>
        <w:rPr>
          <w:highlight w:val="white"/>
        </w:rPr>
        <w:t xml:space="preserve">вых организаций) оценивался в размере 8230,8 млрд</w:t>
      </w:r>
      <w:r>
        <w:rPr>
          <w:highlight w:val="white"/>
        </w:rPr>
        <w:t xml:space="preserve">.</w:t>
      </w:r>
      <w:r>
        <w:rPr>
          <w:highlight w:val="white"/>
        </w:rPr>
        <w:t xml:space="preserve"> рублей (в 2022 году – 6527,3 млрд</w:t>
      </w:r>
      <w:r>
        <w:rPr>
          <w:highlight w:val="white"/>
        </w:rPr>
        <w:t xml:space="preserve">.</w:t>
      </w:r>
      <w:r>
        <w:rPr>
          <w:highlight w:val="white"/>
        </w:rPr>
        <w:t xml:space="preserve">). </w:t>
      </w:r>
      <w:r>
        <w:rPr>
          <w:highlight w:val="white"/>
        </w:rPr>
        <w:t xml:space="preserve">Долгосро</w:t>
      </w:r>
      <w:r>
        <w:rPr>
          <w:highlight w:val="white"/>
        </w:rPr>
        <w:t xml:space="preserve">ч</w:t>
      </w:r>
      <w:r>
        <w:rPr>
          <w:highlight w:val="white"/>
        </w:rPr>
        <w:t xml:space="preserve">ные финансовые вложения составили 2446,4 млрд рублей (29,7% от общего объема), краткосрочные – 5784,4 млрд (70,3%)</w:t>
      </w:r>
      <w:r>
        <w:rPr>
          <w:rStyle w:val="1655"/>
          <w:highlight w:val="white"/>
        </w:rPr>
        <w:footnoteReference w:id="4"/>
      </w:r>
      <w:r>
        <w:rPr>
          <w:highlight w:val="white"/>
        </w:rPr>
        <w:t xml:space="preserve">.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З</w:t>
      </w:r>
      <w:r>
        <w:rPr>
          <w:highlight w:val="white"/>
        </w:rPr>
        <w:t xml:space="preserve">а я</w:t>
      </w:r>
      <w:r>
        <w:rPr>
          <w:highlight w:val="white"/>
        </w:rPr>
        <w:t xml:space="preserve">нварь-сентябрь 2024 </w:t>
      </w:r>
      <w:r>
        <w:rPr>
          <w:highlight w:val="white"/>
        </w:rPr>
        <w:t xml:space="preserve">года зафиксированы следующие показатели</w:t>
      </w:r>
      <w:r>
        <w:rPr>
          <w:highlight w:val="white"/>
        </w:rPr>
        <w:t xml:space="preserve"> инвестиционной деятельности</w:t>
      </w:r>
      <w:r>
        <w:rPr>
          <w:highlight w:val="white"/>
        </w:rPr>
        <w:t xml:space="preserve">. </w:t>
      </w:r>
      <w:r>
        <w:rPr>
          <w:highlight w:val="white"/>
        </w:rPr>
        <w:t xml:space="preserve">Объем инвестиций в основной капитал</w:t>
      </w:r>
      <w:r>
        <w:rPr>
          <w:highlight w:val="white"/>
        </w:rPr>
        <w:t xml:space="preserve"> составил </w:t>
      </w:r>
      <w:r>
        <w:rPr>
          <w:highlight w:val="white"/>
        </w:rPr>
        <w:t xml:space="preserve">1 221,6 </w:t>
      </w:r>
      <w:r>
        <w:rPr>
          <w:highlight w:val="white"/>
        </w:rPr>
        <w:t xml:space="preserve">млрд</w:t>
      </w:r>
      <w:r>
        <w:rPr>
          <w:highlight w:val="white"/>
        </w:rPr>
        <w:t xml:space="preserve">.</w:t>
      </w:r>
      <w:r>
        <w:rPr>
          <w:highlight w:val="white"/>
        </w:rPr>
        <w:t xml:space="preserve"> рублей </w:t>
      </w:r>
      <w:r>
        <w:rPr>
          <w:highlight w:val="white"/>
        </w:rPr>
        <w:t xml:space="preserve">против </w:t>
      </w:r>
      <w:r>
        <w:rPr>
          <w:highlight w:val="white"/>
        </w:rPr>
        <w:t xml:space="preserve">1 089,2 </w:t>
      </w:r>
      <w:r>
        <w:rPr>
          <w:highlight w:val="white"/>
        </w:rPr>
        <w:t xml:space="preserve">в аналогичном периоде 2023 года, что позволило региону сохранить второе м</w:t>
      </w:r>
      <w:r>
        <w:rPr>
          <w:highlight w:val="white"/>
        </w:rPr>
        <w:t xml:space="preserve">есто </w:t>
      </w:r>
      <w:r>
        <w:rPr>
          <w:highlight w:val="white"/>
        </w:rPr>
        <w:t xml:space="preserve">по</w:t>
      </w:r>
      <w:r>
        <w:rPr>
          <w:highlight w:val="white"/>
        </w:rPr>
        <w:t xml:space="preserve"> </w:t>
      </w:r>
      <w:r>
        <w:rPr>
          <w:highlight w:val="white"/>
        </w:rPr>
        <w:t xml:space="preserve">этому </w:t>
      </w:r>
      <w:r>
        <w:rPr>
          <w:highlight w:val="white"/>
        </w:rPr>
        <w:t xml:space="preserve">показателю </w:t>
      </w:r>
      <w:r>
        <w:rPr>
          <w:highlight w:val="white"/>
        </w:rPr>
        <w:t xml:space="preserve">среди субъектов Российской Федерации </w:t>
      </w:r>
      <w:r>
        <w:rPr>
          <w:highlight w:val="white"/>
        </w:rPr>
        <w:t xml:space="preserve">в 2023 и 2024 годах.</w:t>
      </w:r>
      <w:r>
        <w:rPr>
          <w:highlight w:val="white"/>
        </w:rPr>
        <w:t xml:space="preserve"> </w:t>
      </w:r>
      <w:r>
        <w:rPr>
          <w:highlight w:val="white"/>
        </w:rPr>
        <w:t xml:space="preserve">Инвестиции на душу населения</w:t>
      </w:r>
      <w:r>
        <w:rPr>
          <w:highlight w:val="white"/>
        </w:rPr>
        <w:t xml:space="preserve"> а</w:t>
      </w:r>
      <w:r>
        <w:rPr>
          <w:highlight w:val="white"/>
        </w:rPr>
        <w:t xml:space="preserve">втономн</w:t>
      </w:r>
      <w:r>
        <w:rPr>
          <w:highlight w:val="white"/>
        </w:rPr>
        <w:t xml:space="preserve">ого</w:t>
      </w:r>
      <w:r>
        <w:rPr>
          <w:highlight w:val="white"/>
        </w:rPr>
        <w:t xml:space="preserve"> округ</w:t>
      </w:r>
      <w:r>
        <w:rPr>
          <w:highlight w:val="white"/>
        </w:rPr>
        <w:t xml:space="preserve">а составили</w:t>
      </w:r>
      <w:r>
        <w:rPr>
          <w:highlight w:val="white"/>
        </w:rPr>
        <w:t xml:space="preserve"> 700,1 </w:t>
      </w:r>
      <w:r>
        <w:rPr>
          <w:highlight w:val="white"/>
        </w:rPr>
        <w:t xml:space="preserve">тыс. рублей против </w:t>
      </w:r>
      <w:r>
        <w:rPr>
          <w:highlight w:val="white"/>
        </w:rPr>
        <w:t xml:space="preserve">624,2 </w:t>
      </w:r>
      <w:r>
        <w:rPr>
          <w:highlight w:val="white"/>
        </w:rPr>
        <w:t xml:space="preserve">– з аналогичный период 2023 года (по РФ</w:t>
      </w:r>
      <w:r>
        <w:rPr>
          <w:highlight w:val="white"/>
        </w:rPr>
        <w:t xml:space="preserve"> </w:t>
      </w:r>
      <w:r>
        <w:rPr>
          <w:highlight w:val="white"/>
        </w:rPr>
        <w:t xml:space="preserve">в целом </w:t>
      </w:r>
      <w:r>
        <w:rPr>
          <w:highlight w:val="white"/>
        </w:rPr>
        <w:t xml:space="preserve">163,9</w:t>
      </w:r>
      <w:r>
        <w:rPr>
          <w:highlight w:val="white"/>
        </w:rPr>
        <w:t xml:space="preserve"> тыс. рублей и </w:t>
      </w:r>
      <w:r>
        <w:rPr>
          <w:highlight w:val="white"/>
        </w:rPr>
        <w:t xml:space="preserve">138,7</w:t>
      </w:r>
      <w:r>
        <w:rPr>
          <w:highlight w:val="white"/>
        </w:rPr>
        <w:t xml:space="preserve"> тыс. рублей соответственно)</w:t>
      </w:r>
      <w:r>
        <w:rPr>
          <w:rStyle w:val="1655"/>
          <w:highlight w:val="white"/>
        </w:rPr>
        <w:footnoteReference w:id="5"/>
      </w:r>
      <w:r>
        <w:rPr>
          <w:highlight w:val="white"/>
        </w:rPr>
        <w:t xml:space="preserve">.</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Промышленное производство</w:t>
      </w:r>
      <w:r>
        <w:rPr>
          <w:b/>
          <w:highlight w:val="white"/>
        </w:rPr>
        <w:t xml:space="preserve">.</w:t>
      </w:r>
      <w:r>
        <w:rPr>
          <w:highlight w:val="white"/>
        </w:rPr>
        <w:t xml:space="preserve"> </w:t>
      </w:r>
      <w:r>
        <w:rPr>
          <w:highlight w:val="white"/>
        </w:rPr>
        <w:t xml:space="preserve">Индекс промышленного производства в 2023 году составил в среднем 98,5% (в добыче полезных ископаемых – 97,5%, в обрабатывающем секторе – 103,0%, в обеспечении электрической энергией, газом и паром, кондиционировании воздуха – 98,8%, вод</w:t>
      </w:r>
      <w:r>
        <w:rPr>
          <w:highlight w:val="white"/>
        </w:rPr>
        <w:t xml:space="preserve">о</w:t>
      </w:r>
      <w:r>
        <w:rPr>
          <w:highlight w:val="white"/>
        </w:rPr>
        <w:t xml:space="preserve">снабжении; водоотведении, организации сбора и утилизации отходов, деятельности по ликвидации з</w:t>
      </w:r>
      <w:r>
        <w:rPr>
          <w:highlight w:val="white"/>
        </w:rPr>
        <w:t xml:space="preserve">а</w:t>
      </w:r>
      <w:r>
        <w:rPr>
          <w:highlight w:val="white"/>
        </w:rPr>
        <w:t xml:space="preserve">грязнений – 104,7%).</w:t>
      </w:r>
      <w:r>
        <w:rPr>
          <w:highlight w:val="white"/>
        </w:rPr>
      </w:r>
      <w:r>
        <w:rPr>
          <w:highlight w:val="white"/>
        </w:rPr>
      </w:r>
    </w:p>
    <w:p>
      <w:pPr>
        <w:contextualSpacing/>
        <w:ind w:firstLine="709"/>
        <w:spacing w:line="276" w:lineRule="auto"/>
        <w:shd w:val="clear" w:color="ffffff" w:themeColor="background1" w:fill="ffffff" w:themeFill="background1"/>
        <w:rPr>
          <w:b/>
          <w:i/>
          <w:highlight w:val="white"/>
        </w:rPr>
      </w:pPr>
      <w:r>
        <w:rPr>
          <w:highlight w:val="white"/>
        </w:rPr>
        <w:t xml:space="preserve">Индекс цен производителей промышленных товаров, реализованных на внутре</w:t>
      </w:r>
      <w:r>
        <w:rPr>
          <w:highlight w:val="white"/>
        </w:rPr>
        <w:t xml:space="preserve">н</w:t>
      </w:r>
      <w:r>
        <w:rPr>
          <w:highlight w:val="white"/>
        </w:rPr>
        <w:t xml:space="preserve">нем рынке, в декабре 2023 года к декабрю предыдущего года сложился на уровне 147,4% (</w:t>
      </w:r>
      <w:r>
        <w:rPr>
          <w:iCs/>
          <w:highlight w:val="white"/>
        </w:rPr>
        <w:t xml:space="preserve">в добыче полезных ископаемых – 148,5%, обрабатывающих производствах – 159,4%, </w:t>
      </w:r>
      <w:r>
        <w:rPr>
          <w:highlight w:val="white"/>
        </w:rPr>
        <w:t xml:space="preserve">обеспечении электрической энерг</w:t>
      </w:r>
      <w:r>
        <w:rPr>
          <w:highlight w:val="white"/>
        </w:rPr>
        <w:t xml:space="preserve">и</w:t>
      </w:r>
      <w:r>
        <w:rPr>
          <w:highlight w:val="white"/>
        </w:rPr>
        <w:t xml:space="preserve">ей, газом и паром, кондиционировании воздуха – 110,9%, водоснабжении; водоотведении, организ</w:t>
      </w:r>
      <w:r>
        <w:rPr>
          <w:highlight w:val="white"/>
        </w:rPr>
        <w:t xml:space="preserve">а</w:t>
      </w:r>
      <w:r>
        <w:rPr>
          <w:highlight w:val="white"/>
        </w:rPr>
        <w:t xml:space="preserve">ции сбора и утилизации отходов, деятельности по ликвидации загря</w:t>
      </w:r>
      <w:r>
        <w:rPr>
          <w:highlight w:val="white"/>
        </w:rPr>
        <w:t xml:space="preserve">з</w:t>
      </w:r>
      <w:r>
        <w:rPr>
          <w:highlight w:val="white"/>
        </w:rPr>
        <w:t xml:space="preserve">нений – 100,4%)</w:t>
      </w:r>
      <w:r>
        <w:rPr>
          <w:rStyle w:val="1655"/>
          <w:highlight w:val="white"/>
        </w:rPr>
        <w:footnoteReference w:id="6"/>
      </w:r>
      <w:r>
        <w:rPr>
          <w:highlight w:val="white"/>
        </w:rPr>
        <w:t xml:space="preserve">.</w:t>
      </w:r>
      <w:r>
        <w:rPr>
          <w:b/>
          <w:i/>
          <w:highlight w:val="white"/>
        </w:rPr>
      </w:r>
      <w:r>
        <w:rPr>
          <w:b/>
          <w:i/>
          <w:highlight w:val="white"/>
        </w:rPr>
      </w:r>
    </w:p>
    <w:p>
      <w:pPr>
        <w:ind w:firstLine="709"/>
        <w:spacing w:line="276" w:lineRule="auto"/>
        <w:shd w:val="clear" w:color="ffffff" w:themeColor="background1" w:fill="ffffff" w:themeFill="background1"/>
        <w:rPr>
          <w:highlight w:val="white"/>
        </w:rPr>
      </w:pPr>
      <w:r>
        <w:rPr>
          <w:highlight w:val="white"/>
        </w:rPr>
        <w:t xml:space="preserve">В </w:t>
      </w:r>
      <w:r>
        <w:rPr>
          <w:highlight w:val="white"/>
        </w:rPr>
        <w:t xml:space="preserve">январе-ноябре 2024 года </w:t>
      </w:r>
      <w:r>
        <w:rPr>
          <w:highlight w:val="white"/>
        </w:rPr>
        <w:t xml:space="preserve">и</w:t>
      </w:r>
      <w:r>
        <w:rPr>
          <w:highlight w:val="white"/>
        </w:rPr>
        <w:t xml:space="preserve">ндекс промышленного производства в Ханты-Мансийском автономном округе – Югре составил 96,3%</w:t>
      </w:r>
      <w:r>
        <w:rPr>
          <w:highlight w:val="white"/>
        </w:rPr>
        <w:t xml:space="preserve"> </w:t>
      </w:r>
      <w:r>
        <w:rPr>
          <w:highlight w:val="white"/>
        </w:rPr>
        <w:t xml:space="preserve">к соответствующему периоду 2023 года</w:t>
      </w:r>
      <w:r>
        <w:rPr>
          <w:rStyle w:val="1655"/>
          <w:highlight w:val="white"/>
        </w:rPr>
        <w:footnoteReference w:id="7"/>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 первые 3 квартала 2024 года о</w:t>
      </w:r>
      <w:r>
        <w:rPr>
          <w:highlight w:val="white"/>
        </w:rPr>
        <w:t xml:space="preserve">бъем отгруженных товаров обрабатывающих производств составил 815,0 млрд</w:t>
      </w:r>
      <w:r>
        <w:rPr>
          <w:highlight w:val="white"/>
        </w:rPr>
        <w:t xml:space="preserve">.</w:t>
      </w:r>
      <w:r>
        <w:rPr>
          <w:highlight w:val="white"/>
        </w:rPr>
        <w:t xml:space="preserve"> рублей (индекс производства</w:t>
      </w:r>
      <w:r>
        <w:rPr>
          <w:highlight w:val="white"/>
        </w:rPr>
        <w:t xml:space="preserve"> </w:t>
      </w:r>
      <w:r>
        <w:rPr>
          <w:highlight w:val="white"/>
        </w:rPr>
        <w:t xml:space="preserve">115,2 % к соответствующему периоду 2023 года). Отмечается</w:t>
      </w:r>
      <w:r>
        <w:rPr>
          <w:highlight w:val="white"/>
        </w:rPr>
        <w:t xml:space="preserve"> </w:t>
      </w:r>
      <w:r>
        <w:rPr>
          <w:highlight w:val="white"/>
        </w:rPr>
        <w:t xml:space="preserve">существенный рост промышленного производства к январю-сентябрю 2023</w:t>
      </w:r>
      <w:r>
        <w:rPr>
          <w:highlight w:val="white"/>
        </w:rPr>
        <w:t xml:space="preserve"> </w:t>
      </w:r>
      <w:r>
        <w:rPr>
          <w:highlight w:val="white"/>
        </w:rPr>
        <w:t xml:space="preserve">года по следующим видам экономической деятельности: производство</w:t>
      </w:r>
      <w:r>
        <w:rPr>
          <w:highlight w:val="white"/>
        </w:rPr>
        <w:t xml:space="preserve"> </w:t>
      </w:r>
      <w:r>
        <w:rPr>
          <w:highlight w:val="white"/>
        </w:rPr>
        <w:t xml:space="preserve">мебели (в 8,2 раза); производство одежды (в 3,7 раза); производство</w:t>
      </w:r>
      <w:r>
        <w:rPr>
          <w:highlight w:val="white"/>
        </w:rPr>
        <w:t xml:space="preserve"> </w:t>
      </w:r>
      <w:r>
        <w:rPr>
          <w:highlight w:val="white"/>
        </w:rPr>
        <w:t xml:space="preserve">текстильных изделий (в 2,6 раза); производство бумаги и бумажных</w:t>
      </w:r>
      <w:r>
        <w:rPr>
          <w:highlight w:val="white"/>
        </w:rPr>
        <w:t xml:space="preserve"> </w:t>
      </w:r>
      <w:r>
        <w:rPr>
          <w:highlight w:val="white"/>
        </w:rPr>
        <w:t xml:space="preserve">изделий (188,0 %); производство химических веществ и химических</w:t>
      </w:r>
      <w:r>
        <w:rPr>
          <w:highlight w:val="white"/>
        </w:rPr>
        <w:t xml:space="preserve"> </w:t>
      </w:r>
      <w:r>
        <w:rPr>
          <w:highlight w:val="white"/>
        </w:rPr>
        <w:t xml:space="preserve">продуктов (131,8 %); производство автотранспортных средств, прицепов и</w:t>
      </w:r>
      <w:r>
        <w:rPr>
          <w:highlight w:val="white"/>
        </w:rPr>
        <w:t xml:space="preserve"> </w:t>
      </w:r>
      <w:r>
        <w:rPr>
          <w:highlight w:val="white"/>
        </w:rPr>
        <w:t xml:space="preserve">полуприцепов (130,7 %); производство резиновых и пластмассовых изделий</w:t>
      </w:r>
      <w:r>
        <w:rPr>
          <w:highlight w:val="white"/>
        </w:rPr>
        <w:t xml:space="preserve"> </w:t>
      </w:r>
      <w:r>
        <w:rPr>
          <w:highlight w:val="white"/>
        </w:rPr>
        <w:t xml:space="preserve">(124,2 %); деятельность полиграфическая и копирование носителей</w:t>
      </w:r>
      <w:r>
        <w:rPr>
          <w:highlight w:val="white"/>
        </w:rPr>
        <w:t xml:space="preserve"> </w:t>
      </w:r>
      <w:r>
        <w:rPr>
          <w:highlight w:val="white"/>
        </w:rPr>
        <w:t xml:space="preserve">информации (119,5 %); производство пищевых продуктов (119,4 %)</w:t>
      </w:r>
      <w:r>
        <w:rPr>
          <w:rStyle w:val="1655"/>
          <w:highlight w:val="white"/>
        </w:rPr>
        <w:footnoteReference w:id="8"/>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color w:val="000000"/>
          <w:highlight w:val="white"/>
        </w:rPr>
      </w:pPr>
      <w:r>
        <w:rPr>
          <w:b/>
          <w:i/>
          <w:highlight w:val="white"/>
        </w:rPr>
        <w:t xml:space="preserve">Сельское хозяйство</w:t>
      </w:r>
      <w:r>
        <w:rPr>
          <w:b/>
          <w:highlight w:val="white"/>
        </w:rPr>
        <w:t xml:space="preserve">.</w:t>
      </w:r>
      <w:r>
        <w:rPr>
          <w:highlight w:val="white"/>
        </w:rPr>
        <w:t xml:space="preserve"> </w:t>
      </w:r>
      <w:r>
        <w:rPr>
          <w:color w:val="000000"/>
          <w:highlight w:val="white"/>
        </w:rPr>
        <w:t xml:space="preserve">Индекс производства продукции сельского хозяйства в хозяйствах всех категорий в 2023 году составил 98,4% к уровню предыдущего года (по сельскохозяйственным орган</w:t>
      </w:r>
      <w:r>
        <w:rPr>
          <w:color w:val="000000"/>
          <w:highlight w:val="white"/>
        </w:rPr>
        <w:t xml:space="preserve">и</w:t>
      </w:r>
      <w:r>
        <w:rPr>
          <w:color w:val="000000"/>
          <w:highlight w:val="white"/>
        </w:rPr>
        <w:t xml:space="preserve">зациям – 101,7%, хозяйствам населения – 99,9%, крестьянским (фермерским) хозяйствам, индивид</w:t>
      </w:r>
      <w:r>
        <w:rPr>
          <w:color w:val="000000"/>
          <w:highlight w:val="white"/>
        </w:rPr>
        <w:t xml:space="preserve">у</w:t>
      </w:r>
      <w:r>
        <w:rPr>
          <w:color w:val="000000"/>
          <w:highlight w:val="white"/>
        </w:rPr>
        <w:t xml:space="preserve">альным предпринимателям – 90,0%). Объем продукции растениеводства снизился на 0,1%, животн</w:t>
      </w:r>
      <w:r>
        <w:rPr>
          <w:color w:val="000000"/>
          <w:highlight w:val="white"/>
        </w:rPr>
        <w:t xml:space="preserve">о</w:t>
      </w:r>
      <w:r>
        <w:rPr>
          <w:color w:val="000000"/>
          <w:highlight w:val="white"/>
        </w:rPr>
        <w:t xml:space="preserve">водства – на 4,0%. </w:t>
      </w:r>
      <w:r>
        <w:rPr>
          <w:color w:val="000000"/>
          <w:highlight w:val="white"/>
        </w:rPr>
      </w:r>
      <w:r>
        <w:rPr>
          <w:color w:val="000000"/>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расчете на душу населения производство картофеля составило 31 кг, овощей – 12 кг, молока – 13 кг, мяса (в убойном весе) – 6 кг, яиц – 33 штуки.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Индекс цен производителей сельскохозяйственной продукции, реализованной сельскохозя</w:t>
      </w:r>
      <w:r>
        <w:rPr>
          <w:highlight w:val="white"/>
        </w:rPr>
        <w:t xml:space="preserve">й</w:t>
      </w:r>
      <w:r>
        <w:rPr>
          <w:highlight w:val="white"/>
        </w:rPr>
        <w:t xml:space="preserve">ственными организациями, в декабре 2023 года к декабрю предыдущего года составил 103,2%</w:t>
      </w:r>
      <w:r>
        <w:rPr>
          <w:rStyle w:val="1655"/>
          <w:highlight w:val="white"/>
        </w:rPr>
        <w:footnoteReference w:id="9"/>
      </w:r>
      <w:r>
        <w:rPr>
          <w:highlight w:val="white"/>
        </w:rPr>
        <w:t xml:space="preserve">.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w:t>
      </w:r>
      <w:r>
        <w:rPr>
          <w:highlight w:val="white"/>
        </w:rPr>
        <w:t xml:space="preserve">2024 году </w:t>
      </w:r>
      <w:r>
        <w:rPr>
          <w:highlight w:val="white"/>
        </w:rPr>
        <w:t xml:space="preserve">в</w:t>
      </w:r>
      <w:r>
        <w:rPr>
          <w:highlight w:val="white"/>
        </w:rPr>
        <w:t xml:space="preserve"> сфере производства</w:t>
      </w:r>
      <w:r>
        <w:rPr>
          <w:highlight w:val="white"/>
        </w:rPr>
        <w:t xml:space="preserve"> и переработки</w:t>
      </w:r>
      <w:r>
        <w:rPr>
          <w:highlight w:val="white"/>
        </w:rPr>
        <w:t xml:space="preserve"> продукции сельского хозяйства </w:t>
      </w:r>
      <w:r>
        <w:rPr>
          <w:highlight w:val="white"/>
        </w:rPr>
        <w:t xml:space="preserve">действовали</w:t>
      </w:r>
      <w:r>
        <w:rPr>
          <w:highlight w:val="white"/>
        </w:rPr>
        <w:t xml:space="preserve"> </w:t>
      </w:r>
      <w:r>
        <w:rPr>
          <w:highlight w:val="white"/>
        </w:rPr>
        <w:t xml:space="preserve">679 предприятий пищевой и перерабатывающей промышленности, в том</w:t>
      </w:r>
      <w:r>
        <w:rPr>
          <w:highlight w:val="white"/>
        </w:rPr>
        <w:t xml:space="preserve"> </w:t>
      </w:r>
      <w:r>
        <w:rPr>
          <w:highlight w:val="white"/>
        </w:rPr>
        <w:t xml:space="preserve">числе 502 индивидуальных предпринимателя и 177 юридических лиц</w:t>
      </w:r>
      <w:r>
        <w:rPr>
          <w:highlight w:val="white"/>
        </w:rPr>
        <w:t xml:space="preserve"> с о</w:t>
      </w:r>
      <w:r>
        <w:rPr>
          <w:highlight w:val="white"/>
        </w:rPr>
        <w:t xml:space="preserve">бщ</w:t>
      </w:r>
      <w:r>
        <w:rPr>
          <w:highlight w:val="white"/>
        </w:rPr>
        <w:t xml:space="preserve">ей</w:t>
      </w:r>
      <w:r>
        <w:rPr>
          <w:highlight w:val="white"/>
        </w:rPr>
        <w:t xml:space="preserve"> численность</w:t>
      </w:r>
      <w:r>
        <w:rPr>
          <w:highlight w:val="white"/>
        </w:rPr>
        <w:t xml:space="preserve">ю</w:t>
      </w:r>
      <w:r>
        <w:rPr>
          <w:highlight w:val="white"/>
        </w:rPr>
        <w:t xml:space="preserve"> работающих в них более 4 000 человек.</w:t>
      </w:r>
      <w:r>
        <w:rPr>
          <w:highlight w:val="white"/>
        </w:rPr>
        <w:t xml:space="preserve">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отрасли рыбного хозяйства </w:t>
      </w:r>
      <w:r>
        <w:rPr>
          <w:highlight w:val="white"/>
        </w:rPr>
        <w:t xml:space="preserve">деятельность осуществляли </w:t>
      </w:r>
      <w:r>
        <w:rPr>
          <w:highlight w:val="white"/>
        </w:rPr>
        <w:t xml:space="preserve">225 предприятий различных форм собственности, в том числе порядка 116</w:t>
      </w:r>
      <w:r>
        <w:rPr>
          <w:highlight w:val="white"/>
        </w:rPr>
        <w:t xml:space="preserve"> </w:t>
      </w:r>
      <w:r>
        <w:rPr>
          <w:highlight w:val="white"/>
        </w:rPr>
        <w:t xml:space="preserve">предприятий </w:t>
      </w:r>
      <w:r>
        <w:rPr>
          <w:highlight w:val="white"/>
        </w:rPr>
        <w:t xml:space="preserve">вели</w:t>
      </w:r>
      <w:r>
        <w:rPr>
          <w:highlight w:val="white"/>
        </w:rPr>
        <w:t xml:space="preserve"> промышленное рыболовство на водных</w:t>
      </w:r>
      <w:r>
        <w:rPr>
          <w:highlight w:val="white"/>
        </w:rPr>
        <w:t xml:space="preserve"> </w:t>
      </w:r>
      <w:r>
        <w:rPr>
          <w:highlight w:val="white"/>
        </w:rPr>
        <w:t xml:space="preserve">объектах общего пользования без предоставления рыболовных</w:t>
      </w:r>
      <w:r>
        <w:rPr>
          <w:highlight w:val="white"/>
        </w:rPr>
        <w:t xml:space="preserve"> </w:t>
      </w:r>
      <w:r>
        <w:rPr>
          <w:highlight w:val="white"/>
        </w:rPr>
        <w:t xml:space="preserve">(рыбопромысловых) участков. По данным Нижнеобского территориального</w:t>
      </w:r>
      <w:r>
        <w:rPr>
          <w:highlight w:val="white"/>
        </w:rPr>
        <w:t xml:space="preserve"> </w:t>
      </w:r>
      <w:r>
        <w:rPr>
          <w:highlight w:val="white"/>
        </w:rPr>
        <w:t xml:space="preserve">управления Росрыболовства в январе-сентябре 2024 года промышленная</w:t>
      </w:r>
      <w:r>
        <w:rPr>
          <w:highlight w:val="white"/>
        </w:rPr>
        <w:t xml:space="preserve"> </w:t>
      </w:r>
      <w:r>
        <w:rPr>
          <w:highlight w:val="white"/>
        </w:rPr>
        <w:t xml:space="preserve">добыча (вылов) водных биологических ресурсов составила 4,9 тыс. тонн,</w:t>
      </w:r>
      <w:r>
        <w:rPr>
          <w:highlight w:val="white"/>
        </w:rPr>
        <w:t xml:space="preserve"> </w:t>
      </w:r>
      <w:r>
        <w:rPr>
          <w:highlight w:val="white"/>
        </w:rPr>
        <w:t xml:space="preserve">что составляет 88,9 % по отношению к аналогичному периоду 2023 года</w:t>
      </w:r>
      <w:r>
        <w:rPr>
          <w:highlight w:val="white"/>
        </w:rPr>
        <w:t xml:space="preserve"> </w:t>
      </w:r>
      <w:r>
        <w:rPr>
          <w:highlight w:val="white"/>
        </w:rPr>
        <w:t xml:space="preserve">(январь-сентябрь 2023 года – 5,5 тыс. тонн).</w:t>
      </w:r>
      <w:r>
        <w:rPr>
          <w:highlight w:val="white"/>
        </w:rPr>
        <w:t xml:space="preserve">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сферах растениеводства, животноводства и рыбной отрасли</w:t>
      </w:r>
      <w:r>
        <w:rPr>
          <w:highlight w:val="white"/>
        </w:rPr>
        <w:t xml:space="preserve"> </w:t>
      </w:r>
      <w:r>
        <w:rPr>
          <w:highlight w:val="white"/>
        </w:rPr>
        <w:t xml:space="preserve">предпринимательскую деятельность осуществля</w:t>
      </w:r>
      <w:r>
        <w:rPr>
          <w:highlight w:val="white"/>
        </w:rPr>
        <w:t xml:space="preserve">ли </w:t>
      </w:r>
      <w:r>
        <w:rPr>
          <w:highlight w:val="white"/>
        </w:rPr>
        <w:t xml:space="preserve">1 114 субъектов, из них</w:t>
      </w:r>
      <w:r>
        <w:rPr>
          <w:highlight w:val="white"/>
        </w:rPr>
        <w:t xml:space="preserve"> </w:t>
      </w:r>
      <w:r>
        <w:rPr>
          <w:highlight w:val="white"/>
        </w:rPr>
        <w:t xml:space="preserve">387 индивидуальных предпринимателей, 725 юридических лиц, 72 субъекта</w:t>
      </w:r>
      <w:r>
        <w:rPr>
          <w:highlight w:val="white"/>
        </w:rPr>
        <w:t xml:space="preserve"> </w:t>
      </w:r>
      <w:r>
        <w:rPr>
          <w:highlight w:val="white"/>
        </w:rPr>
        <w:t xml:space="preserve">малого и среднего предпринимательства вовлечены в деятельность в</w:t>
      </w:r>
      <w:r>
        <w:rPr>
          <w:highlight w:val="white"/>
        </w:rPr>
        <w:t xml:space="preserve"> </w:t>
      </w:r>
      <w:r>
        <w:rPr>
          <w:highlight w:val="white"/>
        </w:rPr>
        <w:t xml:space="preserve">январе-сентябре 2024 года</w:t>
      </w:r>
      <w:r>
        <w:rPr>
          <w:rStyle w:val="1655"/>
          <w:highlight w:val="white"/>
        </w:rPr>
        <w:footnoteReference w:id="10"/>
      </w:r>
      <w:r>
        <w:rPr>
          <w:highlight w:val="white"/>
        </w:rPr>
        <w:t xml:space="preserve">.</w:t>
      </w:r>
      <w:r>
        <w:rPr>
          <w:highlight w:val="white"/>
        </w:rPr>
      </w:r>
      <w:r>
        <w:rPr>
          <w:highlight w:val="white"/>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b/>
          <w:i/>
          <w:sz w:val="28"/>
          <w:szCs w:val="28"/>
          <w:highlight w:val="white"/>
        </w:rPr>
        <w:t xml:space="preserve">Строительство.</w:t>
      </w:r>
      <w:r>
        <w:rPr>
          <w:sz w:val="28"/>
          <w:szCs w:val="28"/>
          <w:highlight w:val="white"/>
        </w:rPr>
        <w:t xml:space="preserve"> </w:t>
      </w:r>
      <w:r>
        <w:rPr>
          <w:sz w:val="28"/>
          <w:szCs w:val="28"/>
          <w:highlight w:val="white"/>
        </w:rPr>
        <w:t xml:space="preserve">В 2023 году строительными организациями выполнено работ собственными силами на сумму 477,5 млрд рублей (105,9% к предыдущему году).</w:t>
      </w:r>
      <w:r>
        <w:rPr>
          <w:sz w:val="28"/>
          <w:szCs w:val="28"/>
          <w:highlight w:val="white"/>
        </w:rPr>
        <w:t xml:space="preserve"> </w:t>
      </w:r>
      <w:r>
        <w:rPr>
          <w:sz w:val="28"/>
          <w:szCs w:val="28"/>
          <w:highlight w:val="white"/>
        </w:rPr>
        <w:t xml:space="preserve">За год введено в действие 4,5 тыс. зданий жилого (с учетом жилых домов, построенных на з</w:t>
      </w:r>
      <w:r>
        <w:rPr>
          <w:sz w:val="28"/>
          <w:szCs w:val="28"/>
          <w:highlight w:val="white"/>
        </w:rPr>
        <w:t xml:space="preserve">е</w:t>
      </w:r>
      <w:r>
        <w:rPr>
          <w:sz w:val="28"/>
          <w:szCs w:val="28"/>
          <w:highlight w:val="white"/>
        </w:rPr>
        <w:t xml:space="preserve">мельных участках, предназначенных для ведения гражданами садоводства) и нежилого назначения общей площадью 1399,2 тыс. кв. метров (97,8% к уровню 2022 года).</w:t>
      </w:r>
      <w:r>
        <w:rPr>
          <w:sz w:val="28"/>
          <w:szCs w:val="28"/>
          <w:highlight w:val="white"/>
        </w:rPr>
      </w:r>
      <w:r>
        <w:rPr>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Организациями всех форм собственности и населением построено 13,9 тыс. квартир общей площадью жилых помещений 955,3 тыс. кв. метров. В расчете на 1000 населения ввод жилых домов составил 548 кв. ме</w:t>
      </w:r>
      <w:r>
        <w:rPr>
          <w:highlight w:val="white"/>
        </w:rPr>
        <w:t xml:space="preserve">т</w:t>
      </w:r>
      <w:r>
        <w:rPr>
          <w:highlight w:val="white"/>
        </w:rPr>
        <w:t xml:space="preserve">ров. Ввод жилья населением за счет со</w:t>
      </w:r>
      <w:r>
        <w:rPr>
          <w:highlight w:val="white"/>
        </w:rPr>
        <w:t xml:space="preserve">б</w:t>
      </w:r>
      <w:r>
        <w:rPr>
          <w:highlight w:val="white"/>
        </w:rPr>
        <w:t xml:space="preserve">ственных и привлеченных средств (с учетом </w:t>
      </w:r>
      <w:r>
        <w:rPr>
          <w:rFonts w:eastAsia="Tahoma"/>
          <w:highlight w:val="white"/>
        </w:rPr>
        <w:t xml:space="preserve">жилых домов, построенных на земельных участках, предназначенных для ведения садоводства)</w:t>
      </w:r>
      <w:r>
        <w:rPr>
          <w:highlight w:val="white"/>
        </w:rPr>
        <w:t xml:space="preserve"> равнялся 408,1 тыс. кв. метров. Доля индивидуального домостроения в общем вводе жилых домов сост</w:t>
      </w:r>
      <w:r>
        <w:rPr>
          <w:highlight w:val="white"/>
        </w:rPr>
        <w:t xml:space="preserve">а</w:t>
      </w:r>
      <w:r>
        <w:rPr>
          <w:highlight w:val="white"/>
        </w:rPr>
        <w:t xml:space="preserve">вила 42,7%</w:t>
      </w:r>
      <w:r>
        <w:rPr>
          <w:rStyle w:val="1655"/>
          <w:highlight w:val="white"/>
        </w:rPr>
        <w:footnoteReference w:id="11"/>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В январе-ноябре 2024 года о</w:t>
      </w:r>
      <w:r>
        <w:rPr>
          <w:highlight w:val="white"/>
        </w:rPr>
        <w:t xml:space="preserve">рганизациями всех форм собственности и и</w:t>
      </w:r>
      <w:r>
        <w:rPr>
          <w:highlight w:val="white"/>
        </w:rPr>
        <w:t xml:space="preserve">ндивидуальными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684,7 тыс. кв. метров общей площади жилых помещений, что составило 97,1% к январю-ноябрю 2023 года</w:t>
      </w:r>
      <w:r>
        <w:rPr>
          <w:rStyle w:val="1655"/>
          <w:highlight w:val="white"/>
        </w:rPr>
        <w:footnoteReference w:id="12"/>
      </w:r>
      <w:r>
        <w:rPr>
          <w:highlight w:val="white"/>
        </w:rPr>
        <w:t xml:space="preserve">.</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Торговля и услуги населению.</w:t>
      </w:r>
      <w:r>
        <w:rPr>
          <w:b/>
          <w:highlight w:val="white"/>
        </w:rPr>
        <w:t xml:space="preserve"> </w:t>
      </w:r>
      <w:r>
        <w:rPr>
          <w:highlight w:val="white"/>
        </w:rPr>
        <w:t xml:space="preserve">Оборот розничной торговли в 2023 году составил 557,6 млрд</w:t>
      </w:r>
      <w:r>
        <w:rPr>
          <w:highlight w:val="white"/>
        </w:rPr>
        <w:t xml:space="preserve">.</w:t>
      </w:r>
      <w:r>
        <w:rPr>
          <w:highlight w:val="white"/>
        </w:rPr>
        <w:t xml:space="preserve"> рублей (109,4% к 2022 году). Оборот розничной торговли в расчете на одного жителя округа сложился в размере 319,6 тыс. рублей против 295,7 тыс. в 2022 году.</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За год населению продано пищевых продуктов, включая напитки, и табачных изд</w:t>
      </w:r>
      <w:r>
        <w:rPr>
          <w:highlight w:val="white"/>
        </w:rPr>
        <w:t xml:space="preserve">е</w:t>
      </w:r>
      <w:r>
        <w:rPr>
          <w:highlight w:val="white"/>
        </w:rPr>
        <w:t xml:space="preserve">лий на сумму 266,5 млрд</w:t>
      </w:r>
      <w:r>
        <w:rPr>
          <w:highlight w:val="white"/>
        </w:rPr>
        <w:t xml:space="preserve">.</w:t>
      </w:r>
      <w:r>
        <w:rPr>
          <w:highlight w:val="white"/>
        </w:rPr>
        <w:t xml:space="preserve"> рублей (на 6,2% больше, чем в 2022 году), непродовольственных товаров – на 291,1 млрд</w:t>
      </w:r>
      <w:r>
        <w:rPr>
          <w:highlight w:val="white"/>
        </w:rPr>
        <w:t xml:space="preserve">.</w:t>
      </w:r>
      <w:r>
        <w:rPr>
          <w:highlight w:val="white"/>
        </w:rPr>
        <w:t xml:space="preserve"> рублей (на 12,4%). Удельный вес пищевых продуктов, включая напитки, и табачных изделий в обор</w:t>
      </w:r>
      <w:r>
        <w:rPr>
          <w:highlight w:val="white"/>
        </w:rPr>
        <w:t xml:space="preserve">о</w:t>
      </w:r>
      <w:r>
        <w:rPr>
          <w:highlight w:val="white"/>
        </w:rPr>
        <w:t xml:space="preserve">те розничной торговли составил 47,8%, непродовольственных товаров – 52,2%.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Оборот общественного питания оценивался в 43,8 млрд</w:t>
      </w:r>
      <w:r>
        <w:rPr>
          <w:highlight w:val="white"/>
        </w:rPr>
        <w:t xml:space="preserve">.</w:t>
      </w:r>
      <w:r>
        <w:rPr>
          <w:highlight w:val="white"/>
        </w:rPr>
        <w:t xml:space="preserve"> рублей, увеличившись по сравнению с предыдущим годом на 12,2%. В расчете на </w:t>
      </w:r>
      <w:r>
        <w:rPr>
          <w:highlight w:val="white"/>
        </w:rPr>
        <w:t xml:space="preserve">душу населения сумма оборота ресторанов, баров, к</w:t>
      </w:r>
      <w:r>
        <w:rPr>
          <w:highlight w:val="white"/>
        </w:rPr>
        <w:t xml:space="preserve">а</w:t>
      </w:r>
      <w:r>
        <w:rPr>
          <w:highlight w:val="white"/>
        </w:rPr>
        <w:t xml:space="preserve">фе, столовых составила 25,1 тыс. ру</w:t>
      </w:r>
      <w:r>
        <w:rPr>
          <w:highlight w:val="white"/>
        </w:rPr>
        <w:t xml:space="preserve">б</w:t>
      </w:r>
      <w:r>
        <w:rPr>
          <w:highlight w:val="white"/>
        </w:rPr>
        <w:t xml:space="preserve">лей (в 2022 году – 21,9 тыс.). </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Рыночных услуг населению оказано на 166,9 млрд</w:t>
      </w:r>
      <w:r>
        <w:rPr>
          <w:highlight w:val="white"/>
        </w:rPr>
        <w:t xml:space="preserve">.</w:t>
      </w:r>
      <w:r>
        <w:rPr>
          <w:highlight w:val="white"/>
        </w:rPr>
        <w:t xml:space="preserve"> рублей, что выше уровня 2022 года на 4,3%. Наиболее востребованными были транспортные услуги (19,9% от общего объема услуг), коммунал</w:t>
      </w:r>
      <w:r>
        <w:rPr>
          <w:highlight w:val="white"/>
        </w:rPr>
        <w:t xml:space="preserve">ь</w:t>
      </w:r>
      <w:r>
        <w:rPr>
          <w:highlight w:val="white"/>
        </w:rPr>
        <w:t xml:space="preserve">ные (19,8%), телекоммуникационные (18,3%), жилищные (11,1%), бытовые (8,3%), медицинские (6,1%), системы образования (6,0%). В расчете на каждого жителя </w:t>
      </w:r>
      <w:r>
        <w:rPr>
          <w:highlight w:val="white"/>
        </w:rPr>
        <w:t xml:space="preserve">Югры</w:t>
      </w:r>
      <w:r>
        <w:rPr>
          <w:highlight w:val="white"/>
        </w:rPr>
        <w:t xml:space="preserve"> предоставлено услуг в среднем на сумму 95,7 тыс. ру</w:t>
      </w:r>
      <w:r>
        <w:rPr>
          <w:highlight w:val="white"/>
        </w:rPr>
        <w:t xml:space="preserve">б</w:t>
      </w:r>
      <w:r>
        <w:rPr>
          <w:highlight w:val="white"/>
        </w:rPr>
        <w:t xml:space="preserve">лей (в 2022 году – 85,6 тыс.).</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Индекс потребительских цен в декабре 2023 года к декабрю предыдущего года составил 104,6% (на продовольственные товары – 106,6%, непрод</w:t>
      </w:r>
      <w:r>
        <w:rPr>
          <w:highlight w:val="white"/>
        </w:rPr>
        <w:t xml:space="preserve">о</w:t>
      </w:r>
      <w:r>
        <w:rPr>
          <w:highlight w:val="white"/>
        </w:rPr>
        <w:t xml:space="preserve">вольственные – 100,8%, услуги – 107,4%). </w:t>
      </w:r>
      <w:r>
        <w:rPr>
          <w:highlight w:val="white"/>
        </w:rPr>
      </w:r>
      <w:r>
        <w:rPr>
          <w:highlight w:val="white"/>
        </w:rPr>
      </w:r>
    </w:p>
    <w:p>
      <w:pPr>
        <w:ind w:firstLine="709"/>
        <w:spacing w:line="276" w:lineRule="auto"/>
        <w:shd w:val="clear" w:color="ffffff" w:themeColor="background1" w:fill="ffffff" w:themeFill="background1"/>
        <w:rPr>
          <w:bCs/>
          <w:highlight w:val="white"/>
        </w:rPr>
      </w:pPr>
      <w:r>
        <w:rPr>
          <w:bCs/>
          <w:highlight w:val="white"/>
        </w:rPr>
        <w:t xml:space="preserve">В январе-ноябре 2024 года о</w:t>
      </w:r>
      <w:r>
        <w:rPr>
          <w:bCs/>
          <w:highlight w:val="white"/>
        </w:rPr>
        <w:t xml:space="preserve">борот розничной торговли в </w:t>
      </w:r>
      <w:r>
        <w:rPr>
          <w:bCs/>
          <w:highlight w:val="white"/>
        </w:rPr>
        <w:t xml:space="preserve">автономном </w:t>
      </w:r>
      <w:r>
        <w:rPr>
          <w:bCs/>
          <w:highlight w:val="white"/>
        </w:rPr>
        <w:t xml:space="preserve">округе составил 580</w:t>
      </w:r>
      <w:r>
        <w:rPr>
          <w:bCs/>
          <w:highlight w:val="white"/>
        </w:rPr>
        <w:t xml:space="preserve">,3</w:t>
      </w:r>
      <w:r>
        <w:rPr>
          <w:bCs/>
          <w:highlight w:val="white"/>
        </w:rPr>
        <w:t xml:space="preserve"> мл</w:t>
      </w:r>
      <w:r>
        <w:rPr>
          <w:bCs/>
          <w:highlight w:val="white"/>
        </w:rPr>
        <w:t xml:space="preserve">рд.</w:t>
      </w:r>
      <w:r>
        <w:rPr>
          <w:bCs/>
          <w:highlight w:val="white"/>
        </w:rPr>
        <w:t xml:space="preserve"> рублей и увеличился на 10,8% (в сопоставимых ценах) в сравнении с соответствующим периодом 2023 года</w:t>
      </w:r>
      <w:r>
        <w:rPr>
          <w:bCs/>
          <w:highlight w:val="white"/>
        </w:rPr>
        <w:t xml:space="preserve">;</w:t>
      </w:r>
      <w:r>
        <w:rPr>
          <w:bCs/>
          <w:highlight w:val="white"/>
        </w:rPr>
        <w:t xml:space="preserve"> населению округа оказано платных услуг во всех секторах реализации, по оценке, на 176</w:t>
      </w:r>
      <w:r>
        <w:rPr>
          <w:bCs/>
          <w:highlight w:val="white"/>
        </w:rPr>
        <w:t xml:space="preserve">,7</w:t>
      </w:r>
      <w:r>
        <w:rPr>
          <w:bCs/>
          <w:highlight w:val="white"/>
        </w:rPr>
        <w:t xml:space="preserve"> мл</w:t>
      </w:r>
      <w:r>
        <w:rPr>
          <w:bCs/>
          <w:highlight w:val="white"/>
        </w:rPr>
        <w:t xml:space="preserve">рд.</w:t>
      </w:r>
      <w:r>
        <w:rPr>
          <w:bCs/>
          <w:highlight w:val="white"/>
        </w:rPr>
        <w:t xml:space="preserve"> рублей, что составило 107,0% к соответствующему периоду предыдущего года.</w:t>
      </w:r>
      <w:r>
        <w:rPr>
          <w:rStyle w:val="1655"/>
          <w:bCs/>
          <w:highlight w:val="white"/>
        </w:rPr>
        <w:footnoteReference w:id="13"/>
      </w:r>
      <w:r>
        <w:rPr>
          <w:bCs/>
          <w:highlight w:val="white"/>
        </w:rPr>
        <w:t xml:space="preserve">.</w:t>
      </w:r>
      <w:r>
        <w:rPr>
          <w:bCs/>
          <w:highlight w:val="white"/>
        </w:rPr>
      </w:r>
      <w:r>
        <w:rPr>
          <w:bCs/>
          <w:highlight w:val="white"/>
        </w:rPr>
      </w:r>
    </w:p>
    <w:p>
      <w:pPr>
        <w:ind w:firstLine="709"/>
        <w:spacing w:line="276" w:lineRule="auto"/>
        <w:shd w:val="clear" w:color="ffffff" w:themeColor="background1" w:fill="ffffff" w:themeFill="background1"/>
        <w:rPr>
          <w:highlight w:val="white"/>
        </w:rPr>
      </w:pPr>
      <w:r>
        <w:rPr>
          <w:b/>
          <w:i/>
          <w:highlight w:val="white"/>
        </w:rPr>
        <w:t xml:space="preserve">Автомобильный транспорт.</w:t>
      </w:r>
      <w:r>
        <w:rPr>
          <w:highlight w:val="white"/>
        </w:rPr>
        <w:t xml:space="preserve"> </w:t>
      </w:r>
      <w:r>
        <w:rPr>
          <w:highlight w:val="white"/>
        </w:rPr>
        <w:t xml:space="preserve">По итогам 2023 года г</w:t>
      </w:r>
      <w:r>
        <w:rPr>
          <w:highlight w:val="white"/>
        </w:rPr>
        <w:t xml:space="preserve">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4,1 млрд</w:t>
      </w:r>
      <w:r>
        <w:rPr>
          <w:highlight w:val="white"/>
        </w:rPr>
        <w:t xml:space="preserve">.</w:t>
      </w:r>
      <w:r>
        <w:rPr>
          <w:highlight w:val="white"/>
        </w:rPr>
        <w:t xml:space="preserve"> тонно-километров (95,5% к уровню 2022 года). Пассажирооборот автомобильного транспорта общего пользования </w:t>
      </w:r>
      <w:r>
        <w:rPr>
          <w:highlight w:val="white"/>
        </w:rPr>
        <w:t xml:space="preserve">по всему кругу автоперевозчиков</w:t>
      </w:r>
      <w:r>
        <w:rPr>
          <w:highlight w:val="white"/>
        </w:rPr>
        <w:t xml:space="preserve"> равнялся 1275,3 млн</w:t>
      </w:r>
      <w:r>
        <w:rPr>
          <w:highlight w:val="white"/>
        </w:rPr>
        <w:t xml:space="preserve">.</w:t>
      </w:r>
      <w:r>
        <w:rPr>
          <w:highlight w:val="white"/>
        </w:rPr>
        <w:t xml:space="preserve"> </w:t>
      </w:r>
      <w:r>
        <w:rPr>
          <w:highlight w:val="white"/>
        </w:rPr>
        <w:t xml:space="preserve">пассажиро-километров (больше на 5,8%).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Индекс тарифов на грузовые перевозки автомобильным транспортом в 2023 году к предыдущему году составил 103,7%, на пассажирские перевозки – 108,3%</w:t>
      </w:r>
      <w:r>
        <w:rPr>
          <w:rStyle w:val="1655"/>
          <w:rFonts w:eastAsiaTheme="minorHAnsi"/>
          <w:highlight w:val="white"/>
          <w:lang w:eastAsia="en-US"/>
        </w:rPr>
        <w:footnoteReference w:id="14"/>
      </w:r>
      <w:r>
        <w:rPr>
          <w:highlight w:val="white"/>
        </w:rPr>
        <w:t xml:space="preserve">.</w:t>
      </w:r>
      <w:r>
        <w:rPr>
          <w:highlight w:val="white"/>
        </w:rPr>
        <w:t xml:space="preserve">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 первые 3 квартала </w:t>
      </w:r>
      <w:r>
        <w:rPr>
          <w:highlight w:val="white"/>
        </w:rPr>
        <w:t xml:space="preserve">2024 года </w:t>
      </w:r>
      <w:r>
        <w:rPr>
          <w:highlight w:val="white"/>
        </w:rPr>
        <w:t xml:space="preserve">г</w:t>
      </w:r>
      <w:r>
        <w:rPr>
          <w:highlight w:val="white"/>
        </w:rPr>
        <w:t xml:space="preserve">рузооборот автомобильного транспорта организаций (без субъектов малого предпринимательства) составил 1996,1 млн</w:t>
      </w:r>
      <w:r>
        <w:rPr>
          <w:highlight w:val="white"/>
        </w:rPr>
        <w:t xml:space="preserve">.</w:t>
      </w:r>
      <w:r>
        <w:rPr>
          <w:highlight w:val="white"/>
        </w:rPr>
        <w:t xml:space="preserve"> тонно-километров или 98,1% к соответствующему периоду предыдущего года</w:t>
      </w:r>
      <w:r>
        <w:rPr>
          <w:rStyle w:val="1655"/>
          <w:highlight w:val="white"/>
        </w:rPr>
        <w:footnoteReference w:id="15"/>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b/>
          <w:i/>
          <w:highlight w:val="white"/>
          <w:lang w:eastAsia="en-US"/>
        </w:rPr>
        <w:t xml:space="preserve">Дорожное хозяйство.</w:t>
      </w:r>
      <w:r>
        <w:rPr>
          <w:rFonts w:eastAsiaTheme="minorHAnsi"/>
          <w:highlight w:val="white"/>
          <w:lang w:eastAsia="en-US"/>
        </w:rPr>
        <w:t xml:space="preserve"> </w:t>
      </w:r>
      <w:r>
        <w:rPr>
          <w:rFonts w:eastAsiaTheme="minorHAnsi"/>
          <w:highlight w:val="white"/>
          <w:lang w:eastAsia="en-US"/>
        </w:rPr>
        <w:t xml:space="preserve">На 1 января 2024 года протяженность автомобильных дорог общего</w:t>
      </w:r>
      <w:r>
        <w:rPr>
          <w:rFonts w:eastAsiaTheme="minorHAnsi"/>
          <w:highlight w:val="white"/>
          <w:lang w:eastAsia="en-US"/>
        </w:rPr>
        <w:t xml:space="preserve"> </w:t>
      </w:r>
      <w:r>
        <w:rPr>
          <w:rFonts w:eastAsiaTheme="minorHAnsi"/>
          <w:highlight w:val="white"/>
          <w:lang w:eastAsia="en-US"/>
        </w:rPr>
        <w:t xml:space="preserve">пользования федерального, регионального, межмуниципального и местного</w:t>
      </w:r>
      <w:r>
        <w:rPr>
          <w:rFonts w:eastAsiaTheme="minorHAnsi"/>
          <w:highlight w:val="white"/>
          <w:lang w:eastAsia="en-US"/>
        </w:rPr>
        <w:t xml:space="preserve"> </w:t>
      </w:r>
      <w:r>
        <w:rPr>
          <w:rFonts w:eastAsiaTheme="minorHAnsi"/>
          <w:highlight w:val="white"/>
          <w:lang w:eastAsia="en-US"/>
        </w:rPr>
        <w:t xml:space="preserve">значения составл</w:t>
      </w:r>
      <w:r>
        <w:rPr>
          <w:rFonts w:eastAsiaTheme="minorHAnsi"/>
          <w:highlight w:val="white"/>
          <w:lang w:eastAsia="en-US"/>
        </w:rPr>
        <w:t xml:space="preserve">яла</w:t>
      </w:r>
      <w:r>
        <w:rPr>
          <w:rFonts w:eastAsiaTheme="minorHAnsi"/>
          <w:highlight w:val="white"/>
          <w:lang w:eastAsia="en-US"/>
        </w:rPr>
        <w:t xml:space="preserve"> 7 469,4 км, в том числе:</w:t>
      </w:r>
      <w:r>
        <w:rPr>
          <w:rFonts w:eastAsiaTheme="minorHAnsi"/>
          <w:highlight w:val="white"/>
        </w:rPr>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w:t>
      </w:r>
      <w:r>
        <w:rPr>
          <w:rFonts w:eastAsiaTheme="minorHAnsi"/>
          <w:highlight w:val="white"/>
          <w:lang w:eastAsia="en-US"/>
        </w:rPr>
        <w:t xml:space="preserve">местного значения – 4 168,8 км;</w:t>
      </w:r>
      <w:r>
        <w:rPr>
          <w:rFonts w:eastAsiaTheme="minorHAnsi"/>
          <w:highlight w:val="white"/>
        </w:rPr>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w:t>
      </w:r>
      <w:r>
        <w:rPr>
          <w:rFonts w:eastAsiaTheme="minorHAnsi"/>
          <w:highlight w:val="white"/>
          <w:lang w:eastAsia="en-US"/>
        </w:rPr>
        <w:t xml:space="preserve">регионального значения – 2 866,7 км;</w:t>
      </w:r>
      <w:r>
        <w:rPr>
          <w:rFonts w:eastAsiaTheme="minorHAnsi"/>
          <w:highlight w:val="white"/>
        </w:rPr>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w:t>
      </w:r>
      <w:r>
        <w:rPr>
          <w:rFonts w:eastAsiaTheme="minorHAnsi"/>
          <w:highlight w:val="white"/>
          <w:lang w:eastAsia="en-US"/>
        </w:rPr>
        <w:t xml:space="preserve">федерального значения – 433,9 км.</w:t>
      </w:r>
      <w:r>
        <w:rPr>
          <w:rFonts w:eastAsiaTheme="minorHAnsi"/>
          <w:highlight w:val="white"/>
        </w:rPr>
      </w:r>
      <w:r>
        <w:rPr>
          <w:rFonts w:eastAsiaTheme="minorHAnsi"/>
          <w:highlight w:val="white"/>
        </w:rPr>
      </w:r>
    </w:p>
    <w:p>
      <w:pPr>
        <w:ind w:firstLine="709"/>
        <w:spacing w:line="276" w:lineRule="auto"/>
        <w:shd w:val="clear" w:color="ffffff" w:themeColor="background1" w:fill="ffffff" w:themeFill="background1"/>
        <w:rPr>
          <w:highlight w:val="white"/>
        </w:rPr>
      </w:pPr>
      <w:r>
        <w:rPr>
          <w:rFonts w:eastAsiaTheme="minorHAnsi"/>
          <w:highlight w:val="white"/>
          <w:lang w:eastAsia="en-US"/>
        </w:rPr>
        <w:t xml:space="preserve">Для обеспечения транспортной доступности поселений, не имеющих</w:t>
      </w:r>
      <w:r>
        <w:rPr>
          <w:rFonts w:eastAsiaTheme="minorHAnsi"/>
          <w:highlight w:val="white"/>
          <w:lang w:eastAsia="en-US"/>
        </w:rPr>
        <w:t xml:space="preserve"> </w:t>
      </w:r>
      <w:r>
        <w:rPr>
          <w:rFonts w:eastAsiaTheme="minorHAnsi"/>
          <w:highlight w:val="white"/>
          <w:lang w:eastAsia="en-US"/>
        </w:rPr>
        <w:t xml:space="preserve">круглогодичной связи по автомобильным дорогам в зимний период с ноября</w:t>
      </w:r>
      <w:r>
        <w:rPr>
          <w:rFonts w:eastAsiaTheme="minorHAnsi"/>
          <w:highlight w:val="white"/>
          <w:lang w:eastAsia="en-US"/>
        </w:rPr>
        <w:t xml:space="preserve"> </w:t>
      </w:r>
      <w:r>
        <w:rPr>
          <w:rFonts w:eastAsiaTheme="minorHAnsi"/>
          <w:highlight w:val="white"/>
          <w:lang w:eastAsia="en-US"/>
        </w:rPr>
        <w:t xml:space="preserve">2024 года по апрель 2025 года </w:t>
      </w:r>
      <w:r>
        <w:rPr>
          <w:rFonts w:eastAsiaTheme="minorHAnsi"/>
          <w:highlight w:val="white"/>
          <w:lang w:eastAsia="en-US"/>
        </w:rPr>
        <w:t xml:space="preserve">введены</w:t>
      </w:r>
      <w:r>
        <w:rPr>
          <w:rFonts w:eastAsiaTheme="minorHAnsi"/>
          <w:highlight w:val="white"/>
          <w:lang w:eastAsia="en-US"/>
        </w:rPr>
        <w:t xml:space="preserve"> 2 504,9 км зимних дорог и ледовых переправ</w:t>
      </w:r>
      <w:r>
        <w:rPr>
          <w:rStyle w:val="1655"/>
          <w:rFonts w:eastAsiaTheme="minorHAnsi"/>
          <w:highlight w:val="white"/>
          <w:lang w:eastAsia="en-US"/>
        </w:rPr>
        <w:footnoteReference w:id="16"/>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highlight w:val="white"/>
        </w:rPr>
      </w:pPr>
      <w:r>
        <w:rPr>
          <w:b/>
          <w:i/>
          <w:highlight w:val="white"/>
        </w:rPr>
        <w:t xml:space="preserve">Наука и инновации.</w:t>
      </w:r>
      <w:r>
        <w:rPr>
          <w:highlight w:val="white"/>
        </w:rPr>
        <w:t xml:space="preserve"> </w:t>
      </w:r>
      <w:r>
        <w:rPr>
          <w:highlight w:val="white"/>
        </w:rPr>
        <w:t xml:space="preserve">На конец 2023 года научными исследованиями и разработками заним</w:t>
      </w:r>
      <w:r>
        <w:rPr>
          <w:highlight w:val="white"/>
        </w:rPr>
        <w:t xml:space="preserve">а</w:t>
      </w:r>
      <w:r>
        <w:rPr>
          <w:highlight w:val="white"/>
        </w:rPr>
        <w:t xml:space="preserve">лись 22 организации (без субъектов малого предпринимательства) с численностью персонала 1248 человек. </w:t>
      </w:r>
      <w:r>
        <w:rPr>
          <w:color w:val="000000"/>
          <w:highlight w:val="white"/>
        </w:rPr>
        <w:t xml:space="preserve">По сравнению с предыдущим годом число организаций увеличилось на 22,2%, численность персонала – на 28,4%. </w:t>
      </w:r>
      <w:r>
        <w:rPr>
          <w:highlight w:val="white"/>
        </w:rPr>
        <w:t xml:space="preserve">Общие затраты на исследования и разработки за год составили 5,0 млрд</w:t>
      </w:r>
      <w:r>
        <w:rPr>
          <w:highlight w:val="white"/>
        </w:rPr>
        <w:t xml:space="preserve">.</w:t>
      </w:r>
      <w:r>
        <w:rPr>
          <w:highlight w:val="white"/>
        </w:rPr>
        <w:t xml:space="preserve"> рублей, что в факт</w:t>
      </w:r>
      <w:r>
        <w:rPr>
          <w:highlight w:val="white"/>
        </w:rPr>
        <w:t xml:space="preserve">и</w:t>
      </w:r>
      <w:r>
        <w:rPr>
          <w:highlight w:val="white"/>
        </w:rPr>
        <w:t xml:space="preserve">чески де</w:t>
      </w:r>
      <w:r>
        <w:rPr>
          <w:highlight w:val="white"/>
        </w:rPr>
        <w:t xml:space="preserve">й</w:t>
      </w:r>
      <w:r>
        <w:rPr>
          <w:highlight w:val="white"/>
        </w:rPr>
        <w:t xml:space="preserve">ствовавших ценах на 33,5% выше уровня предыдущего года.</w:t>
      </w:r>
      <w:r>
        <w:rPr>
          <w:highlight w:val="white"/>
        </w:rPr>
      </w:r>
      <w:r>
        <w:rPr>
          <w:highlight w:val="white"/>
        </w:rPr>
      </w:r>
    </w:p>
    <w:p>
      <w:pPr>
        <w:contextualSpacing/>
        <w:ind w:firstLine="709"/>
        <w:spacing w:line="276" w:lineRule="auto"/>
        <w:shd w:val="clear" w:color="ffffff" w:themeColor="background1" w:fill="ffffff" w:themeFill="background1"/>
        <w:rPr>
          <w:bCs/>
          <w:iCs/>
          <w:color w:val="000000"/>
          <w:highlight w:val="white"/>
        </w:rPr>
      </w:pPr>
      <w:r>
        <w:rPr>
          <w:highlight w:val="white"/>
        </w:rPr>
        <w:t xml:space="preserve">В 2023 году уровень инновационной активности организаций (без субъектов малого предприн</w:t>
      </w:r>
      <w:r>
        <w:rPr>
          <w:highlight w:val="white"/>
        </w:rPr>
        <w:t xml:space="preserve">и</w:t>
      </w:r>
      <w:r>
        <w:rPr>
          <w:highlight w:val="white"/>
        </w:rPr>
        <w:t xml:space="preserve">мательства) составил 5,7% от общего числа обследованных организаций.</w:t>
      </w:r>
      <w:r>
        <w:rPr>
          <w:highlight w:val="white"/>
        </w:rPr>
        <w:t xml:space="preserve"> </w:t>
      </w:r>
      <w:r>
        <w:rPr>
          <w:highlight w:val="white"/>
        </w:rPr>
        <w:t xml:space="preserve">За год на инновационную деятельность организациями израсходовано 133,0 млрд</w:t>
      </w:r>
      <w:r>
        <w:rPr>
          <w:highlight w:val="white"/>
        </w:rPr>
        <w:t xml:space="preserve">.</w:t>
      </w:r>
      <w:r>
        <w:rPr>
          <w:highlight w:val="white"/>
        </w:rPr>
        <w:t xml:space="preserve"> рублей, что в фактически де</w:t>
      </w:r>
      <w:r>
        <w:rPr>
          <w:highlight w:val="white"/>
        </w:rPr>
        <w:t xml:space="preserve">й</w:t>
      </w:r>
      <w:r>
        <w:rPr>
          <w:highlight w:val="white"/>
        </w:rPr>
        <w:t xml:space="preserve">ствовавших ценах на 52,2% выше уровня 2022 года. </w:t>
      </w:r>
      <w:r>
        <w:rPr>
          <w:bCs/>
          <w:iCs/>
          <w:color w:val="000000"/>
          <w:highlight w:val="white"/>
        </w:rPr>
      </w:r>
      <w:r>
        <w:rPr>
          <w:bCs/>
          <w:iCs/>
          <w:color w:val="000000"/>
          <w:highlight w:val="white"/>
        </w:rPr>
      </w:r>
    </w:p>
    <w:p>
      <w:pPr>
        <w:ind w:firstLine="709"/>
        <w:spacing w:line="276" w:lineRule="auto"/>
        <w:shd w:val="clear" w:color="ffffff" w:themeColor="background1" w:fill="ffffff" w:themeFill="background1"/>
        <w:rPr>
          <w:highlight w:val="white"/>
        </w:rPr>
      </w:pPr>
      <w:r>
        <w:rPr>
          <w:highlight w:val="white"/>
        </w:rPr>
        <w:t xml:space="preserve">Объем отгруженных инновационных товаров, выполненных работ, оказанных услуг инновац</w:t>
      </w:r>
      <w:r>
        <w:rPr>
          <w:highlight w:val="white"/>
        </w:rPr>
        <w:t xml:space="preserve">и</w:t>
      </w:r>
      <w:r>
        <w:rPr>
          <w:highlight w:val="white"/>
        </w:rPr>
        <w:t xml:space="preserve">онно-активными организациями вырос в 2,6 раза и составил 67,7 млрд</w:t>
      </w:r>
      <w:r>
        <w:rPr>
          <w:highlight w:val="white"/>
        </w:rPr>
        <w:t xml:space="preserve">.</w:t>
      </w:r>
      <w:r>
        <w:rPr>
          <w:highlight w:val="white"/>
        </w:rPr>
        <w:t xml:space="preserve"> рублей</w:t>
      </w:r>
      <w:r>
        <w:rPr>
          <w:rStyle w:val="1655"/>
          <w:highlight w:val="white"/>
        </w:rPr>
        <w:footnoteReference w:id="17"/>
      </w:r>
      <w:r>
        <w:rPr>
          <w:highlight w:val="white"/>
        </w:rPr>
        <w:t xml:space="preserve">.</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Туризм и отдых</w:t>
      </w:r>
      <w:r>
        <w:rPr>
          <w:b/>
          <w:highlight w:val="white"/>
        </w:rPr>
        <w:t xml:space="preserve">.</w:t>
      </w:r>
      <w:r>
        <w:rPr>
          <w:highlight w:val="white"/>
        </w:rPr>
        <w:t xml:space="preserve"> </w:t>
      </w:r>
      <w:r>
        <w:rPr>
          <w:highlight w:val="white"/>
        </w:rPr>
        <w:t xml:space="preserve">Для лечения и отдыха жителей </w:t>
      </w:r>
      <w:r>
        <w:rPr>
          <w:highlight w:val="white"/>
        </w:rPr>
        <w:t xml:space="preserve">автономного </w:t>
      </w:r>
      <w:r>
        <w:rPr>
          <w:highlight w:val="white"/>
        </w:rPr>
        <w:t xml:space="preserve">округа на </w:t>
      </w:r>
      <w:r>
        <w:rPr>
          <w:highlight w:val="white"/>
        </w:rPr>
        <w:t xml:space="preserve">начало 2024</w:t>
      </w:r>
      <w:r>
        <w:rPr>
          <w:highlight w:val="white"/>
        </w:rPr>
        <w:t xml:space="preserve"> года действовали 32 санаторно-курортные организации и организации отдыха (на конец 2022 года – 31), из них 2 санатория (4). Число обслуженных лиц в них составило 104,9 тыс. человек (в 2022 году – 109,3).</w:t>
      </w:r>
      <w:r>
        <w:rPr>
          <w:highlight w:val="white"/>
        </w:rPr>
        <w:t xml:space="preserve"> </w:t>
      </w:r>
      <w:r>
        <w:rPr>
          <w:highlight w:val="white"/>
        </w:rPr>
        <w:t xml:space="preserve">Гостиничные услуги оказывали 210 гостиниц и аналогичных средств размещения общей вместимостью 12,3 тыс. мест. За год ими предоставлено 1324,0 тыс. ночевок (в 2022 году – 1061,9 тыс.).</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Туристскими фирмами округа в 2023 году реализовано 34,5 тыс. турпакетов (в 2022 году – 28,9 тыс.), обслужено 66,7 тыс. человек (57,4 тыс.).</w:t>
      </w:r>
      <w:r>
        <w:rPr>
          <w:highlight w:val="white"/>
        </w:rPr>
        <w:t xml:space="preserve"> Доля реализованных турпакетов по территории России составила 42,2%, по </w:t>
      </w:r>
      <w:r>
        <w:rPr>
          <w:highlight w:val="white"/>
        </w:rPr>
        <w:t xml:space="preserve">другим странам – 57,8%. Стоимость реализованных турпакетов за год увеличилась с 3636,3 млн рублей до 5309,8 млн.</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2023 году численность отдохнувших детей за лето в организациях, предоставляющих услуги по организации отдыха и оздоровления детей, составила 49,0 тыс. человек (в 2022 году – 49,8 тыс.)</w:t>
      </w:r>
      <w:r>
        <w:rPr>
          <w:rStyle w:val="1655"/>
          <w:highlight w:val="white"/>
        </w:rPr>
        <w:footnoteReference w:id="18"/>
      </w:r>
      <w:r>
        <w:rPr>
          <w:highlight w:val="white"/>
        </w:rPr>
        <w:t xml:space="preserve">.</w:t>
      </w:r>
      <w:r>
        <w:rPr>
          <w:highlight w:val="white"/>
        </w:rPr>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Уровень жизни населения. </w:t>
      </w:r>
      <w:r>
        <w:rPr>
          <w:highlight w:val="white"/>
        </w:rPr>
        <w:t xml:space="preserve">В 2023 году денежные доходы в расчете на душу населения с</w:t>
      </w:r>
      <w:r>
        <w:rPr>
          <w:highlight w:val="white"/>
        </w:rPr>
        <w:t xml:space="preserve">о</w:t>
      </w:r>
      <w:r>
        <w:rPr>
          <w:highlight w:val="white"/>
        </w:rPr>
        <w:t xml:space="preserve">ставили 72,6 тыс. рублей в месяц (в 2022 году – 66,5 тыс. рублей). </w:t>
      </w:r>
      <w:r>
        <w:rPr>
          <w:highlight w:val="white"/>
        </w:rPr>
      </w:r>
      <w:r>
        <w:rPr>
          <w:highlight w:val="white"/>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Среднемесячная</w:t>
      </w:r>
      <w:r>
        <w:rPr>
          <w:spacing w:val="-20"/>
          <w:sz w:val="28"/>
          <w:szCs w:val="28"/>
          <w:highlight w:val="white"/>
        </w:rPr>
        <w:t xml:space="preserve"> </w:t>
      </w:r>
      <w:r>
        <w:rPr>
          <w:sz w:val="28"/>
          <w:szCs w:val="28"/>
          <w:highlight w:val="white"/>
        </w:rPr>
        <w:t xml:space="preserve">номинальная начисленная заработная плата одного работника равнялась 108,1 тыс. рублей. Размер реальной заработной платы к уровню предыдущего года вырос на 8,4%. На начало 2024 года просроченная задолженность по заработной плате в организациях (без субъе</w:t>
      </w:r>
      <w:r>
        <w:rPr>
          <w:sz w:val="28"/>
          <w:szCs w:val="28"/>
          <w:highlight w:val="white"/>
        </w:rPr>
        <w:t xml:space="preserve">к</w:t>
      </w:r>
      <w:r>
        <w:rPr>
          <w:sz w:val="28"/>
          <w:szCs w:val="28"/>
          <w:highlight w:val="white"/>
        </w:rPr>
        <w:t xml:space="preserve">тов малого предпринимательства) наблюдаемых видов экономической деятельности о</w:t>
      </w:r>
      <w:r>
        <w:rPr>
          <w:sz w:val="28"/>
          <w:szCs w:val="28"/>
          <w:highlight w:val="white"/>
        </w:rPr>
        <w:t xml:space="preserve">т</w:t>
      </w:r>
      <w:r>
        <w:rPr>
          <w:sz w:val="28"/>
          <w:szCs w:val="28"/>
          <w:highlight w:val="white"/>
        </w:rPr>
        <w:t xml:space="preserve">сутствовала.</w:t>
      </w:r>
      <w:r>
        <w:rPr>
          <w:sz w:val="28"/>
          <w:szCs w:val="28"/>
          <w:highlight w:val="white"/>
        </w:rPr>
      </w:r>
      <w:r>
        <w:rPr>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По данным Фонда пенсионного и социального страхования Российской Федерации средний размер назначенных пенсий в округе на конец 2023 года составил 30,1 тыс. рублей. Реальный размер пенсий к уровню 2022 года п</w:t>
      </w:r>
      <w:r>
        <w:rPr>
          <w:highlight w:val="white"/>
        </w:rPr>
        <w:t xml:space="preserve">о</w:t>
      </w:r>
      <w:r>
        <w:rPr>
          <w:highlight w:val="white"/>
        </w:rPr>
        <w:t xml:space="preserve">высился на 1,9%.</w:t>
      </w:r>
      <w:r>
        <w:rPr>
          <w:highlight w:val="white"/>
        </w:rPr>
      </w:r>
      <w:r>
        <w:rPr>
          <w:highlight w:val="white"/>
        </w:rPr>
      </w:r>
    </w:p>
    <w:p>
      <w:pPr>
        <w:pStyle w:val="1659"/>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По данным Банка </w:t>
      </w:r>
      <w:r>
        <w:rPr>
          <w:sz w:val="28"/>
          <w:szCs w:val="28"/>
          <w:highlight w:val="white"/>
        </w:rPr>
        <w:t xml:space="preserve">России общий объем средств (вкладов) в кредитных организациях (с учетом данных по ПАО «Сбербанк России») увеличился на 25,1% и в 2023 году составил 406,0 тыс. рублей на одного жителя. В учреждениях ПАО «Сбербанк России» средства (вклады) населения по сравн</w:t>
      </w:r>
      <w:r>
        <w:rPr>
          <w:sz w:val="28"/>
          <w:szCs w:val="28"/>
          <w:highlight w:val="white"/>
        </w:rPr>
        <w:t xml:space="preserve">е</w:t>
      </w:r>
      <w:r>
        <w:rPr>
          <w:sz w:val="28"/>
          <w:szCs w:val="28"/>
          <w:highlight w:val="white"/>
        </w:rPr>
        <w:t xml:space="preserve">нию с предыдущим годом выросли на 31,0% и равнялись 256,0 тыс. рублей в расчете на душу нас</w:t>
      </w:r>
      <w:r>
        <w:rPr>
          <w:sz w:val="28"/>
          <w:szCs w:val="28"/>
          <w:highlight w:val="white"/>
        </w:rPr>
        <w:t xml:space="preserve">е</w:t>
      </w:r>
      <w:r>
        <w:rPr>
          <w:sz w:val="28"/>
          <w:szCs w:val="28"/>
          <w:highlight w:val="white"/>
        </w:rPr>
        <w:t xml:space="preserve">ления. </w:t>
      </w:r>
      <w:r>
        <w:rPr>
          <w:sz w:val="28"/>
          <w:szCs w:val="28"/>
          <w:highlight w:val="white"/>
        </w:rPr>
      </w:r>
      <w:r>
        <w:rPr>
          <w:sz w:val="28"/>
          <w:szCs w:val="28"/>
          <w:highlight w:val="white"/>
        </w:rPr>
      </w:r>
    </w:p>
    <w:p>
      <w:pPr>
        <w:pStyle w:val="1659"/>
        <w:contextualSpacing/>
        <w:ind w:firstLine="709"/>
        <w:jc w:val="both"/>
        <w:spacing w:after="0" w:line="276" w:lineRule="auto"/>
        <w:shd w:val="clear" w:color="ffffff" w:themeColor="background1" w:fill="ffffff" w:themeFill="background1"/>
        <w:rPr>
          <w:color w:val="000000"/>
          <w:sz w:val="28"/>
          <w:szCs w:val="28"/>
          <w:highlight w:val="white"/>
        </w:rPr>
      </w:pPr>
      <w:r>
        <w:rPr>
          <w:sz w:val="28"/>
          <w:szCs w:val="28"/>
          <w:highlight w:val="white"/>
        </w:rPr>
        <w:t xml:space="preserve">Общий жилищный фонд в округе на конец года насчитывал 38,1 млн</w:t>
      </w:r>
      <w:r>
        <w:rPr>
          <w:sz w:val="28"/>
          <w:szCs w:val="28"/>
          <w:highlight w:val="white"/>
        </w:rPr>
        <w:t xml:space="preserve">.</w:t>
      </w:r>
      <w:r>
        <w:rPr>
          <w:sz w:val="28"/>
          <w:szCs w:val="28"/>
          <w:highlight w:val="white"/>
        </w:rPr>
        <w:t xml:space="preserve"> кв. метров общей площади жилых помещений, что на 1,9% больше, чем в предыдущем году. В среднем на одного жителя прих</w:t>
      </w:r>
      <w:r>
        <w:rPr>
          <w:sz w:val="28"/>
          <w:szCs w:val="28"/>
          <w:highlight w:val="white"/>
        </w:rPr>
        <w:t xml:space="preserve">о</w:t>
      </w:r>
      <w:r>
        <w:rPr>
          <w:sz w:val="28"/>
          <w:szCs w:val="28"/>
          <w:highlight w:val="white"/>
        </w:rPr>
        <w:t xml:space="preserve">дилось 21,6 кв. метра жилья, что соответствовало значению предыдущего года. </w:t>
      </w:r>
      <w:r>
        <w:rPr>
          <w:color w:val="000000"/>
          <w:sz w:val="28"/>
          <w:szCs w:val="28"/>
          <w:highlight w:val="white"/>
        </w:rPr>
        <w:t xml:space="preserve">Средняя цена 1 кв. </w:t>
      </w:r>
      <w:r>
        <w:rPr>
          <w:color w:val="000000"/>
          <w:sz w:val="28"/>
          <w:szCs w:val="28"/>
          <w:highlight w:val="white"/>
        </w:rPr>
        <w:t xml:space="preserve">метра проданных квартир на конец 2023 года на первичном рынке жилья составила 109,6 тыс. ру</w:t>
      </w:r>
      <w:r>
        <w:rPr>
          <w:color w:val="000000"/>
          <w:sz w:val="28"/>
          <w:szCs w:val="28"/>
          <w:highlight w:val="white"/>
        </w:rPr>
        <w:t xml:space="preserve">б</w:t>
      </w:r>
      <w:r>
        <w:rPr>
          <w:color w:val="000000"/>
          <w:sz w:val="28"/>
          <w:szCs w:val="28"/>
          <w:highlight w:val="white"/>
        </w:rPr>
        <w:t xml:space="preserve">лей, на вторичном – 103,5 тыс. рублей.</w:t>
      </w:r>
      <w:r>
        <w:rPr>
          <w:color w:val="000000"/>
          <w:sz w:val="28"/>
          <w:szCs w:val="28"/>
          <w:highlight w:val="white"/>
        </w:rPr>
      </w:r>
      <w:r>
        <w:rPr>
          <w:color w:val="000000"/>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Обеспеченность жителей </w:t>
      </w:r>
      <w:r>
        <w:rPr>
          <w:highlight w:val="white"/>
        </w:rPr>
        <w:t xml:space="preserve">Югры</w:t>
      </w:r>
      <w:r>
        <w:rPr>
          <w:highlight w:val="white"/>
        </w:rPr>
        <w:t xml:space="preserve"> в 2023 году личными легковыми автомобилями (по данным МВД России) в расчете на 1000 населения состав</w:t>
      </w:r>
      <w:r>
        <w:rPr>
          <w:highlight w:val="white"/>
        </w:rPr>
        <w:t xml:space="preserve">и</w:t>
      </w:r>
      <w:r>
        <w:rPr>
          <w:highlight w:val="white"/>
        </w:rPr>
        <w:t xml:space="preserve">ла 387 штук (в 2022 году – 379)</w:t>
      </w:r>
      <w:r>
        <w:rPr>
          <w:rStyle w:val="1655"/>
          <w:highlight w:val="white"/>
        </w:rPr>
        <w:footnoteReference w:id="19"/>
      </w:r>
      <w:r>
        <w:rPr>
          <w:highlight w:val="white"/>
        </w:rPr>
        <w:t xml:space="preserve">.</w:t>
      </w:r>
      <w:r>
        <w:rPr>
          <w:highlight w:val="white"/>
        </w:rPr>
      </w:r>
      <w:r>
        <w:rPr>
          <w:highlight w:val="white"/>
        </w:rPr>
      </w:r>
    </w:p>
    <w:p>
      <w:pPr>
        <w:pStyle w:val="1659"/>
        <w:ind w:firstLine="709"/>
        <w:jc w:val="both"/>
        <w:spacing w:after="0" w:line="276" w:lineRule="auto"/>
        <w:shd w:val="clear" w:color="ffffff" w:themeColor="background1" w:fill="ffffff" w:themeFill="background1"/>
        <w:rPr>
          <w:b/>
          <w:i/>
          <w:sz w:val="28"/>
          <w:szCs w:val="28"/>
          <w:highlight w:val="white"/>
        </w:rPr>
      </w:pPr>
      <w:r>
        <w:rPr>
          <w:b/>
          <w:i/>
          <w:sz w:val="28"/>
          <w:szCs w:val="28"/>
          <w:highlight w:val="white"/>
        </w:rPr>
        <w:t xml:space="preserve">Социальная сфера. </w:t>
      </w:r>
      <w:r>
        <w:rPr>
          <w:b/>
          <w:i/>
          <w:sz w:val="28"/>
          <w:szCs w:val="28"/>
          <w:highlight w:val="white"/>
        </w:rPr>
      </w:r>
      <w:r>
        <w:rPr>
          <w:b/>
          <w:i/>
          <w:sz w:val="28"/>
          <w:szCs w:val="28"/>
          <w:highlight w:val="white"/>
        </w:rPr>
      </w:r>
    </w:p>
    <w:p>
      <w:pPr>
        <w:contextualSpacing/>
        <w:ind w:firstLine="709"/>
        <w:spacing w:line="274" w:lineRule="auto"/>
        <w:shd w:val="clear" w:color="ffffff" w:themeColor="background1" w:fill="ffffff" w:themeFill="background1"/>
        <w:rPr>
          <w:highlight w:val="white"/>
        </w:rPr>
      </w:pPr>
      <w:r>
        <w:rPr>
          <w:i/>
          <w:highlight w:val="white"/>
        </w:rPr>
        <w:t xml:space="preserve">Здравоохранение.</w:t>
      </w:r>
      <w:r>
        <w:rPr>
          <w:b/>
          <w:highlight w:val="white"/>
        </w:rPr>
        <w:t xml:space="preserve"> </w:t>
      </w:r>
      <w:r>
        <w:rPr>
          <w:highlight w:val="white"/>
        </w:rPr>
        <w:t xml:space="preserve">На конец 2023 года медицинскую помощь населению оказывали в 223 а</w:t>
      </w:r>
      <w:r>
        <w:rPr>
          <w:highlight w:val="white"/>
        </w:rPr>
        <w:t xml:space="preserve">м</w:t>
      </w:r>
      <w:r>
        <w:rPr>
          <w:highlight w:val="white"/>
        </w:rPr>
        <w:t xml:space="preserve">булаторно-поликлинических и 54 больничных </w:t>
      </w:r>
      <w:r>
        <w:rPr>
          <w:highlight w:val="white"/>
        </w:rPr>
        <w:t xml:space="preserve">организациях, 188 женских консультациях, детских п</w:t>
      </w:r>
      <w:r>
        <w:rPr>
          <w:highlight w:val="white"/>
        </w:rPr>
        <w:t xml:space="preserve">о</w:t>
      </w:r>
      <w:r>
        <w:rPr>
          <w:highlight w:val="white"/>
        </w:rPr>
        <w:t xml:space="preserve">ликлиниках, отделениях (каб</w:t>
      </w:r>
      <w:r>
        <w:rPr>
          <w:highlight w:val="white"/>
        </w:rPr>
        <w:t xml:space="preserve">и</w:t>
      </w:r>
      <w:r>
        <w:rPr>
          <w:highlight w:val="white"/>
        </w:rPr>
        <w:t xml:space="preserve">нетах), 66 фельдшерско-акушерских пунктах. Кроме того, действовало 39 станций (отделений) скорой мед</w:t>
      </w:r>
      <w:r>
        <w:rPr>
          <w:highlight w:val="white"/>
        </w:rPr>
        <w:t xml:space="preserve">и</w:t>
      </w:r>
      <w:r>
        <w:rPr>
          <w:highlight w:val="white"/>
        </w:rPr>
        <w:t xml:space="preserve">цинской помощи. </w:t>
      </w:r>
      <w:r>
        <w:rPr>
          <w:highlight w:val="white"/>
        </w:rPr>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Зарегистрировано 12,5 тыс. больничных коек. Показатель обеспеченности населения больни</w:t>
      </w:r>
      <w:r>
        <w:rPr>
          <w:highlight w:val="white"/>
        </w:rPr>
        <w:t xml:space="preserve">ч</w:t>
      </w:r>
      <w:r>
        <w:rPr>
          <w:highlight w:val="white"/>
        </w:rPr>
        <w:t xml:space="preserve">ными койками в расчете на 10000 ж</w:t>
      </w:r>
      <w:r>
        <w:rPr>
          <w:highlight w:val="white"/>
        </w:rPr>
        <w:t xml:space="preserve">и</w:t>
      </w:r>
      <w:r>
        <w:rPr>
          <w:highlight w:val="white"/>
        </w:rPr>
        <w:t xml:space="preserve">телей за год изменился с 72,6 до 71,3.  </w:t>
      </w:r>
      <w:r>
        <w:rPr>
          <w:highlight w:val="white"/>
        </w:rPr>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Мощность амбулаторно-поликлинических организаций составила 46,6 тыс. посещений в см</w:t>
      </w:r>
      <w:r>
        <w:rPr>
          <w:highlight w:val="white"/>
        </w:rPr>
        <w:t xml:space="preserve">е</w:t>
      </w:r>
      <w:r>
        <w:rPr>
          <w:highlight w:val="white"/>
        </w:rPr>
        <w:t xml:space="preserve">ну. Обеспеченность на 10000 населения такими учреждениями в 2023 году равнялась 265,0 посещений (в 2022 году – 269,2). </w:t>
      </w:r>
      <w:r>
        <w:rPr>
          <w:highlight w:val="white"/>
        </w:rPr>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Численность врачей и среднего медицинского персонала составила соответственно 10,2 тыс. и 24,2 тыс. человек. В расчете на 10000 населения показатель обеспеченности жителей региона вр</w:t>
      </w:r>
      <w:r>
        <w:rPr>
          <w:highlight w:val="white"/>
        </w:rPr>
        <w:t xml:space="preserve">а</w:t>
      </w:r>
      <w:r>
        <w:rPr>
          <w:highlight w:val="white"/>
        </w:rPr>
        <w:t xml:space="preserve">чами в сравнении с 2022 годом изменился незначительно и составил 58,2, средним медицинским персоналом – с 139,9 в 2022 году до 137,4 в 2023 году</w:t>
      </w:r>
      <w:r>
        <w:rPr>
          <w:rStyle w:val="1655"/>
          <w:highlight w:val="white"/>
        </w:rPr>
        <w:footnoteReference w:id="20"/>
      </w:r>
      <w:r>
        <w:rPr>
          <w:highlight w:val="white"/>
        </w:rPr>
        <w:t xml:space="preserve">. </w:t>
      </w:r>
      <w:r>
        <w:rPr>
          <w:highlight w:val="white"/>
        </w:rPr>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В течение первых трех кварталов 2024 года в Югре действовала 91</w:t>
      </w:r>
      <w:r>
        <w:rPr>
          <w:highlight w:val="white"/>
        </w:rPr>
        <w:t xml:space="preserve"> государственн</w:t>
      </w:r>
      <w:r>
        <w:rPr>
          <w:highlight w:val="white"/>
        </w:rPr>
        <w:t xml:space="preserve">ая</w:t>
      </w:r>
      <w:r>
        <w:rPr>
          <w:highlight w:val="white"/>
        </w:rPr>
        <w:t xml:space="preserve"> организаци</w:t>
      </w:r>
      <w:r>
        <w:rPr>
          <w:highlight w:val="white"/>
        </w:rPr>
        <w:t xml:space="preserve">я</w:t>
      </w:r>
      <w:r>
        <w:rPr>
          <w:highlight w:val="white"/>
        </w:rPr>
        <w:t xml:space="preserve">, подведомственн</w:t>
      </w:r>
      <w:r>
        <w:rPr>
          <w:highlight w:val="white"/>
        </w:rPr>
        <w:t xml:space="preserve">ая</w:t>
      </w:r>
      <w:r>
        <w:rPr>
          <w:highlight w:val="white"/>
        </w:rPr>
        <w:t xml:space="preserve"> Департаменту здравоохранения автономного округа</w:t>
      </w:r>
      <w:r>
        <w:rPr>
          <w:highlight w:val="white"/>
        </w:rPr>
        <w:t xml:space="preserve"> (в аналогичный период 2023 года – 92).</w:t>
      </w:r>
      <w:r>
        <w:rPr>
          <w:highlight w:val="white"/>
        </w:rPr>
        <w:t xml:space="preserve"> </w:t>
      </w:r>
      <w:r>
        <w:rPr>
          <w:highlight w:val="white"/>
        </w:rPr>
        <w:t xml:space="preserve">При этом ч</w:t>
      </w:r>
      <w:r>
        <w:rPr>
          <w:highlight w:val="white"/>
        </w:rPr>
        <w:t xml:space="preserve">исленность работающих в сфере «Здравоохранение»</w:t>
      </w:r>
      <w:r>
        <w:rPr>
          <w:highlight w:val="white"/>
        </w:rPr>
        <w:t xml:space="preserve"> составила</w:t>
      </w:r>
      <w:r>
        <w:rPr>
          <w:highlight w:val="white"/>
        </w:rPr>
        <w:t xml:space="preserve"> 49</w:t>
      </w:r>
      <w:r>
        <w:rPr>
          <w:highlight w:val="white"/>
        </w:rPr>
        <w:t xml:space="preserve"> </w:t>
      </w:r>
      <w:r>
        <w:rPr>
          <w:highlight w:val="white"/>
        </w:rPr>
        <w:t xml:space="preserve">214</w:t>
      </w:r>
      <w:r>
        <w:rPr>
          <w:highlight w:val="white"/>
        </w:rPr>
        <w:t xml:space="preserve"> </w:t>
      </w:r>
      <w:r>
        <w:rPr>
          <w:highlight w:val="white"/>
        </w:rPr>
        <w:t xml:space="preserve">человек </w:t>
      </w:r>
      <w:r>
        <w:rPr>
          <w:highlight w:val="white"/>
        </w:rPr>
        <w:t xml:space="preserve">против </w:t>
      </w:r>
      <w:r>
        <w:rPr>
          <w:highlight w:val="white"/>
        </w:rPr>
        <w:t xml:space="preserve">49</w:t>
      </w:r>
      <w:r>
        <w:rPr>
          <w:highlight w:val="white"/>
        </w:rPr>
        <w:t xml:space="preserve"> </w:t>
      </w:r>
      <w:r>
        <w:rPr>
          <w:highlight w:val="white"/>
        </w:rPr>
        <w:t xml:space="preserve">089</w:t>
      </w:r>
      <w:r>
        <w:rPr>
          <w:highlight w:val="white"/>
        </w:rPr>
        <w:t xml:space="preserve"> в аналогичном периоде 2023 года, </w:t>
      </w:r>
      <w:r>
        <w:rPr>
          <w:highlight w:val="white"/>
        </w:rPr>
        <w:t xml:space="preserve">95 8611 человек</w:t>
      </w:r>
      <w:r>
        <w:rPr>
          <w:highlight w:val="white"/>
        </w:rPr>
        <w:t xml:space="preserve"> прошли</w:t>
      </w:r>
      <w:r>
        <w:rPr>
          <w:highlight w:val="white"/>
        </w:rPr>
        <w:t xml:space="preserve"> профилактические медицинские осмотры</w:t>
      </w:r>
      <w:r>
        <w:rPr>
          <w:highlight w:val="white"/>
        </w:rPr>
        <w:t xml:space="preserve"> (против </w:t>
      </w:r>
      <w:r>
        <w:rPr>
          <w:highlight w:val="white"/>
        </w:rPr>
        <w:t xml:space="preserve">48</w:t>
      </w:r>
      <w:r>
        <w:rPr>
          <w:highlight w:val="white"/>
        </w:rPr>
        <w:t xml:space="preserve"> </w:t>
      </w:r>
      <w:r>
        <w:rPr>
          <w:highlight w:val="white"/>
        </w:rPr>
        <w:t xml:space="preserve">912</w:t>
      </w:r>
      <w:r>
        <w:rPr>
          <w:highlight w:val="white"/>
        </w:rPr>
        <w:t xml:space="preserve"> человек в январе-сентябре 2023 года)</w:t>
      </w:r>
      <w:r>
        <w:rPr>
          <w:rStyle w:val="1655"/>
          <w:highlight w:val="white"/>
        </w:rPr>
        <w:footnoteReference w:id="21"/>
      </w:r>
      <w:r>
        <w:rPr>
          <w:highlight w:val="white"/>
        </w:rPr>
        <w:t xml:space="preserve">.</w:t>
      </w:r>
      <w:r>
        <w:rPr>
          <w:highlight w:val="white"/>
        </w:rPr>
      </w:r>
      <w:r>
        <w:rPr>
          <w:highlight w:val="white"/>
        </w:rPr>
      </w:r>
    </w:p>
    <w:p>
      <w:pPr>
        <w:ind w:firstLine="709"/>
        <w:spacing w:line="274" w:lineRule="auto"/>
        <w:shd w:val="clear" w:color="ffffff" w:themeColor="background1" w:fill="ffffff" w:themeFill="background1"/>
        <w:rPr>
          <w:highlight w:val="white"/>
        </w:rPr>
      </w:pPr>
      <w:r>
        <w:rPr>
          <w:rFonts w:eastAsiaTheme="minorHAnsi"/>
          <w:highlight w:val="white"/>
          <w:lang w:eastAsia="en-US"/>
        </w:rPr>
        <w:t xml:space="preserve">К</w:t>
      </w:r>
      <w:r>
        <w:rPr>
          <w:rFonts w:eastAsiaTheme="minorHAnsi"/>
          <w:highlight w:val="white"/>
          <w:lang w:eastAsia="en-US"/>
        </w:rPr>
        <w:t xml:space="preserve"> 202</w:t>
      </w:r>
      <w:r>
        <w:rPr>
          <w:rFonts w:eastAsiaTheme="minorHAnsi"/>
          <w:highlight w:val="white"/>
          <w:lang w:eastAsia="en-US"/>
        </w:rPr>
        <w:t xml:space="preserve">4</w:t>
      </w:r>
      <w:r>
        <w:rPr>
          <w:rFonts w:eastAsiaTheme="minorHAnsi"/>
          <w:highlight w:val="white"/>
          <w:lang w:eastAsia="en-US"/>
        </w:rPr>
        <w:t xml:space="preserve"> году</w:t>
      </w:r>
      <w:r>
        <w:rPr>
          <w:rFonts w:eastAsiaTheme="minorHAnsi"/>
          <w:i/>
          <w:highlight w:val="white"/>
          <w:lang w:eastAsia="en-US"/>
        </w:rPr>
        <w:t xml:space="preserve"> ф</w:t>
      </w:r>
      <w:r>
        <w:rPr>
          <w:rFonts w:eastAsiaTheme="minorHAnsi"/>
          <w:i/>
          <w:highlight w:val="white"/>
          <w:lang w:eastAsia="en-US"/>
        </w:rPr>
        <w:t xml:space="preserve">изкультурно-оздоровительную деятельность</w:t>
      </w:r>
      <w:r>
        <w:rPr>
          <w:rFonts w:eastAsiaTheme="minorHAnsi"/>
          <w:highlight w:val="white"/>
          <w:lang w:eastAsia="en-US"/>
        </w:rPr>
        <w:t xml:space="preserve"> на территории автономного округа </w:t>
      </w:r>
      <w:r>
        <w:rPr>
          <w:rFonts w:eastAsiaTheme="minorHAnsi"/>
          <w:highlight w:val="white"/>
          <w:lang w:eastAsia="en-US"/>
        </w:rPr>
        <w:t xml:space="preserve">функционировало</w:t>
      </w:r>
      <w:r>
        <w:rPr>
          <w:highlight w:val="white"/>
        </w:rPr>
        <w:t xml:space="preserve"> 4 003 спортивных сооружений с единовременной пропускной способностью 139 045 157 чел./час. </w:t>
      </w:r>
      <w:r>
        <w:rPr>
          <w:highlight w:val="white"/>
        </w:rPr>
        <w:t xml:space="preserve">Для привлечения жителей к занятиям спортом работали 4 стадиона (в 2022 году – 4), 1002 спортивных зала (998), 149 плавательных бассейнов (148) и другие спортивные сооружения.</w:t>
      </w:r>
      <w:r>
        <w:rPr>
          <w:highlight w:val="white"/>
        </w:rPr>
        <w:t xml:space="preserve"> </w:t>
      </w:r>
      <w:r>
        <w:rPr>
          <w:highlight w:val="white"/>
        </w:rPr>
        <w:t xml:space="preserve">Из общего количества спортивных сооружений 568 расположено в сельской местности</w:t>
      </w:r>
      <w:r>
        <w:rPr>
          <w:rStyle w:val="1655"/>
          <w:highlight w:val="white"/>
        </w:rPr>
        <w:footnoteReference w:id="22"/>
      </w:r>
      <w:r>
        <w:rPr>
          <w:highlight w:val="white"/>
        </w:rPr>
        <w:t xml:space="preserve">. </w:t>
      </w:r>
      <w:r>
        <w:rPr>
          <w:highlight w:val="white"/>
        </w:rPr>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В рамках развития материально-технической базы учреждений спорта 2024 году с целью развития сети спортивных объектов шаговой доступности заключены 22 соглашения с муниципальными образованиями автономного </w:t>
      </w:r>
      <w:r>
        <w:rPr>
          <w:highlight w:val="white"/>
        </w:rPr>
        <w:t xml:space="preserve">округа на предоставление субсидии. </w:t>
      </w:r>
      <w:r>
        <w:rPr>
          <w:highlight w:val="white"/>
        </w:rPr>
      </w:r>
      <w:r>
        <w:rPr>
          <w:highlight w:val="white"/>
        </w:rPr>
      </w:r>
    </w:p>
    <w:p>
      <w:pPr>
        <w:pStyle w:val="1683"/>
        <w:ind w:firstLine="709"/>
        <w:jc w:val="both"/>
        <w:spacing w:line="274" w:lineRule="auto"/>
        <w:shd w:val="clear" w:color="ffffff" w:themeColor="background1" w:fill="ffffff" w:themeFill="background1"/>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рамках федерального проекта «Бизнес-спринт (Я выбираю спорт)» введен в эксплуатацию 1 объект спорта: «Модульное спортивное сооружение» Советский район, г. Советский.</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firstLine="709"/>
        <w:spacing w:line="274" w:lineRule="auto"/>
        <w:shd w:val="clear" w:color="ffffff" w:themeColor="background1" w:fill="ffffff" w:themeFill="background1"/>
        <w:rPr>
          <w:highlight w:val="white"/>
        </w:rPr>
      </w:pPr>
      <w:r>
        <w:rPr>
          <w:highlight w:val="white"/>
        </w:rPr>
        <w:t xml:space="preserve">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w:t>
      </w:r>
      <w:r>
        <w:rPr>
          <w:highlight w:val="white"/>
        </w:rPr>
        <w:t xml:space="preserve">малобильных</w:t>
      </w:r>
      <w:r>
        <w:rPr>
          <w:highlight w:val="white"/>
        </w:rPr>
        <w:t xml:space="preserve"> групп.</w:t>
      </w:r>
      <w:r>
        <w:rPr>
          <w:highlight w:val="white"/>
        </w:rPr>
      </w:r>
      <w:r>
        <w:rPr>
          <w:highlight w:val="white"/>
        </w:rPr>
      </w:r>
    </w:p>
    <w:p>
      <w:pPr>
        <w:ind w:firstLine="709"/>
        <w:spacing w:line="274" w:lineRule="auto"/>
        <w:shd w:val="clear" w:color="ffffff" w:themeColor="background1" w:fill="ffffff" w:themeFill="background1"/>
        <w:rPr>
          <w:highlight w:val="white"/>
        </w:rPr>
      </w:pPr>
      <w:r>
        <w:rPr>
          <w:rFonts w:eastAsiaTheme="minorHAnsi"/>
          <w:i/>
          <w:highlight w:val="white"/>
          <w:lang w:eastAsia="en-US"/>
        </w:rPr>
        <w:t xml:space="preserve">Сеть учреждений социальн</w:t>
      </w:r>
      <w:r>
        <w:rPr>
          <w:rFonts w:eastAsiaTheme="minorHAnsi"/>
          <w:i/>
          <w:highlight w:val="white"/>
          <w:lang w:eastAsia="en-US"/>
        </w:rPr>
        <w:t xml:space="preserve">ой поддержки </w:t>
      </w:r>
      <w:r>
        <w:rPr>
          <w:rFonts w:eastAsiaTheme="minorHAnsi"/>
          <w:i/>
          <w:highlight w:val="white"/>
          <w:lang w:eastAsia="en-US"/>
        </w:rPr>
        <w:t xml:space="preserve">населения</w:t>
      </w:r>
      <w:r>
        <w:rPr>
          <w:rFonts w:eastAsiaTheme="minorHAnsi"/>
          <w:highlight w:val="white"/>
          <w:lang w:eastAsia="en-US"/>
        </w:rPr>
        <w:t xml:space="preserve"> в автономном округе </w:t>
      </w:r>
      <w:r>
        <w:rPr>
          <w:rFonts w:eastAsiaTheme="minorHAnsi"/>
          <w:highlight w:val="white"/>
          <w:lang w:eastAsia="en-US"/>
        </w:rPr>
        <w:t xml:space="preserve">по итогам третьего квартала 2024 года</w:t>
      </w:r>
      <w:r>
        <w:rPr>
          <w:rFonts w:eastAsiaTheme="minorHAnsi"/>
          <w:highlight w:val="white"/>
          <w:lang w:eastAsia="en-US"/>
        </w:rPr>
        <w:t xml:space="preserve"> включала в себя</w:t>
      </w:r>
      <w:r>
        <w:rPr>
          <w:rFonts w:eastAsiaTheme="minorHAnsi"/>
          <w:highlight w:val="white"/>
          <w:lang w:eastAsia="en-US"/>
        </w:rPr>
        <w:t xml:space="preserve"> 4</w:t>
      </w:r>
      <w:r>
        <w:rPr>
          <w:rFonts w:eastAsiaTheme="minorHAnsi"/>
          <w:highlight w:val="white"/>
          <w:lang w:eastAsia="en-US"/>
        </w:rPr>
        <w:t xml:space="preserve">3</w:t>
      </w:r>
      <w:r>
        <w:rPr>
          <w:rFonts w:eastAsiaTheme="minorHAnsi"/>
          <w:highlight w:val="white"/>
          <w:lang w:eastAsia="en-US"/>
        </w:rPr>
        <w:t xml:space="preserve"> </w:t>
      </w:r>
      <w:r>
        <w:rPr>
          <w:rFonts w:eastAsiaTheme="minorHAnsi"/>
          <w:highlight w:val="white"/>
          <w:lang w:eastAsia="en-US"/>
        </w:rPr>
        <w:t xml:space="preserve">учреждени</w:t>
      </w:r>
      <w:r>
        <w:rPr>
          <w:rFonts w:eastAsiaTheme="minorHAnsi"/>
          <w:highlight w:val="white"/>
          <w:lang w:eastAsia="en-US"/>
        </w:rPr>
        <w:t xml:space="preserve">я</w:t>
      </w:r>
      <w:r>
        <w:rPr>
          <w:rFonts w:eastAsiaTheme="minorHAnsi"/>
          <w:highlight w:val="white"/>
          <w:lang w:eastAsia="en-US"/>
        </w:rPr>
        <w:t xml:space="preserve"> системы социальных служб автономного округа</w:t>
      </w:r>
      <w:r>
        <w:rPr>
          <w:rFonts w:eastAsiaTheme="minorHAnsi"/>
          <w:highlight w:val="white"/>
          <w:lang w:eastAsia="en-US"/>
        </w:rPr>
        <w:t xml:space="preserve"> и 161 </w:t>
      </w:r>
      <w:r>
        <w:rPr>
          <w:rFonts w:eastAsiaTheme="minorHAnsi"/>
          <w:highlight w:val="white"/>
          <w:lang w:eastAsia="en-US"/>
        </w:rPr>
        <w:t xml:space="preserve">негосударственн</w:t>
      </w:r>
      <w:r>
        <w:rPr>
          <w:rFonts w:eastAsiaTheme="minorHAnsi"/>
          <w:highlight w:val="white"/>
          <w:lang w:eastAsia="en-US"/>
        </w:rPr>
        <w:t xml:space="preserve">ая</w:t>
      </w:r>
      <w:r>
        <w:rPr>
          <w:rFonts w:eastAsiaTheme="minorHAnsi"/>
          <w:highlight w:val="white"/>
          <w:lang w:eastAsia="en-US"/>
        </w:rPr>
        <w:t xml:space="preserve"> организаци</w:t>
      </w:r>
      <w:r>
        <w:rPr>
          <w:rFonts w:eastAsiaTheme="minorHAnsi"/>
          <w:highlight w:val="white"/>
          <w:lang w:eastAsia="en-US"/>
        </w:rPr>
        <w:t xml:space="preserve">я</w:t>
      </w:r>
      <w:r>
        <w:rPr>
          <w:rFonts w:eastAsiaTheme="minorHAnsi"/>
          <w:highlight w:val="white"/>
          <w:lang w:eastAsia="en-US"/>
        </w:rPr>
        <w:t xml:space="preserve">, оказывающ</w:t>
      </w:r>
      <w:r>
        <w:rPr>
          <w:rFonts w:eastAsiaTheme="minorHAnsi"/>
          <w:highlight w:val="white"/>
          <w:lang w:eastAsia="en-US"/>
        </w:rPr>
        <w:t xml:space="preserve">ая</w:t>
      </w:r>
      <w:r>
        <w:rPr>
          <w:rFonts w:eastAsiaTheme="minorHAnsi"/>
          <w:highlight w:val="white"/>
          <w:lang w:eastAsia="en-US"/>
        </w:rPr>
        <w:t xml:space="preserve"> социальные услуги</w:t>
      </w:r>
      <w:r>
        <w:rPr>
          <w:rFonts w:eastAsiaTheme="minorHAnsi"/>
          <w:highlight w:val="white"/>
          <w:lang w:eastAsia="en-US"/>
        </w:rPr>
        <w:t xml:space="preserve">.</w:t>
      </w:r>
      <w:r>
        <w:rPr>
          <w:rFonts w:eastAsiaTheme="minorHAnsi"/>
          <w:highlight w:val="white"/>
          <w:lang w:eastAsia="en-US"/>
        </w:rPr>
        <w:t xml:space="preserve"> </w:t>
      </w:r>
      <w:r>
        <w:rPr>
          <w:rFonts w:eastAsiaTheme="minorHAnsi"/>
          <w:highlight w:val="white"/>
          <w:lang w:eastAsia="en-US"/>
        </w:rPr>
        <w:t xml:space="preserve">О</w:t>
      </w:r>
      <w:r>
        <w:rPr>
          <w:highlight w:val="white"/>
        </w:rPr>
        <w:t xml:space="preserve">беспечено оказание 9</w:t>
      </w:r>
      <w:r>
        <w:rPr>
          <w:highlight w:val="white"/>
        </w:rPr>
        <w:t xml:space="preserve">2</w:t>
      </w:r>
      <w:r>
        <w:rPr>
          <w:highlight w:val="white"/>
        </w:rPr>
        <w:t xml:space="preserve"> меры социальной поддержки</w:t>
      </w:r>
      <w:r>
        <w:rPr>
          <w:highlight w:val="white"/>
        </w:rPr>
        <w:t xml:space="preserve">, о</w:t>
      </w:r>
      <w:r>
        <w:rPr>
          <w:highlight w:val="white"/>
        </w:rPr>
        <w:t xml:space="preserve">бъем расходов на </w:t>
      </w:r>
      <w:r>
        <w:rPr>
          <w:highlight w:val="white"/>
        </w:rPr>
        <w:t xml:space="preserve">их </w:t>
      </w:r>
      <w:r>
        <w:rPr>
          <w:highlight w:val="white"/>
        </w:rPr>
        <w:t xml:space="preserve">предоставление </w:t>
      </w:r>
      <w:r>
        <w:rPr>
          <w:highlight w:val="white"/>
        </w:rPr>
        <w:t xml:space="preserve">составил </w:t>
      </w:r>
      <w:r>
        <w:rPr>
          <w:highlight w:val="white"/>
        </w:rPr>
        <w:t xml:space="preserve">40 366,4</w:t>
      </w:r>
      <w:r>
        <w:rPr>
          <w:highlight w:val="white"/>
        </w:rPr>
        <w:t xml:space="preserve"> </w:t>
      </w:r>
      <w:r>
        <w:rPr>
          <w:highlight w:val="white"/>
        </w:rPr>
        <w:t xml:space="preserve">млн. рублей, </w:t>
      </w:r>
      <w:r>
        <w:rPr>
          <w:highlight w:val="white"/>
        </w:rPr>
        <w:t xml:space="preserve">что в 1,5 раза больше, чем за аналогичный период 2023 года (</w:t>
      </w:r>
      <w:r>
        <w:rPr>
          <w:highlight w:val="white"/>
        </w:rPr>
        <w:t xml:space="preserve">27 027,4</w:t>
      </w:r>
      <w:r>
        <w:rPr>
          <w:highlight w:val="white"/>
        </w:rPr>
        <w:t xml:space="preserve"> млн. рублей)</w:t>
      </w:r>
      <w:r>
        <w:rPr>
          <w:rStyle w:val="1655"/>
          <w:highlight w:val="white"/>
        </w:rPr>
        <w:footnoteReference w:id="23"/>
      </w:r>
      <w:r>
        <w:rPr>
          <w:highlight w:val="white"/>
        </w:rPr>
        <w:t xml:space="preserve">.</w:t>
      </w:r>
      <w:r>
        <w:rPr>
          <w:highlight w:val="white"/>
        </w:rPr>
      </w:r>
      <w:r>
        <w:rPr>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i/>
          <w:highlight w:val="white"/>
          <w:lang w:eastAsia="en-US"/>
        </w:rPr>
        <w:t xml:space="preserve">Сеть образовательных организаций</w:t>
      </w:r>
      <w:r>
        <w:rPr>
          <w:rFonts w:eastAsiaTheme="minorHAnsi"/>
          <w:highlight w:val="white"/>
          <w:lang w:eastAsia="en-US"/>
        </w:rPr>
        <w:t xml:space="preserve"> представлена в Югре </w:t>
      </w:r>
      <w:r>
        <w:rPr>
          <w:rFonts w:eastAsiaTheme="minorHAnsi"/>
          <w:highlight w:val="white"/>
          <w:lang w:eastAsia="en-US"/>
        </w:rPr>
        <w:t xml:space="preserve">772 организациями (354</w:t>
      </w:r>
      <w:r>
        <w:rPr>
          <w:rFonts w:eastAsiaTheme="minorHAnsi"/>
          <w:highlight w:val="white"/>
          <w:lang w:eastAsia="en-US"/>
        </w:rPr>
        <w:t xml:space="preserve"> </w:t>
      </w:r>
      <w:r>
        <w:rPr>
          <w:rFonts w:eastAsiaTheme="minorHAnsi"/>
          <w:highlight w:val="white"/>
          <w:lang w:eastAsia="en-US"/>
        </w:rPr>
        <w:t xml:space="preserve">организаций дошкольной образовательной сети</w:t>
      </w:r>
      <w:r>
        <w:rPr>
          <w:rFonts w:eastAsiaTheme="minorHAnsi"/>
          <w:highlight w:val="white"/>
          <w:lang w:eastAsia="en-US"/>
        </w:rPr>
        <w:t xml:space="preserve">, </w:t>
      </w:r>
      <w:r>
        <w:rPr>
          <w:rFonts w:eastAsiaTheme="minorHAnsi"/>
          <w:highlight w:val="white"/>
          <w:lang w:eastAsia="en-US"/>
        </w:rPr>
        <w:t xml:space="preserve">включая общеобразовательные организации с дошкольными группами и филиалы</w:t>
      </w:r>
      <w:r>
        <w:rPr>
          <w:rFonts w:eastAsiaTheme="minorHAnsi"/>
          <w:highlight w:val="white"/>
          <w:lang w:eastAsia="en-US"/>
        </w:rPr>
        <w:t xml:space="preserve">, </w:t>
      </w:r>
      <w:r>
        <w:rPr>
          <w:rFonts w:eastAsiaTheme="minorHAnsi"/>
          <w:highlight w:val="white"/>
          <w:lang w:eastAsia="en-US"/>
        </w:rPr>
        <w:t xml:space="preserve">323 общеобразовательных организации, 26 </w:t>
      </w:r>
      <w:r>
        <w:rPr>
          <w:rFonts w:eastAsiaTheme="minorHAnsi"/>
          <w:highlight w:val="white"/>
          <w:lang w:eastAsia="en-US"/>
        </w:rPr>
        <w:t xml:space="preserve">организаций среднего профессионального образования</w:t>
      </w:r>
      <w:r>
        <w:rPr>
          <w:rFonts w:eastAsiaTheme="minorHAnsi"/>
          <w:highlight w:val="white"/>
          <w:lang w:eastAsia="en-US"/>
        </w:rPr>
        <w:t xml:space="preserve">)</w:t>
      </w:r>
      <w:r>
        <w:rPr>
          <w:rFonts w:eastAsiaTheme="minorHAnsi"/>
          <w:highlight w:val="white"/>
          <w:lang w:eastAsia="en-US"/>
        </w:rPr>
        <w:t xml:space="preserve"> с</w:t>
      </w:r>
      <w:r>
        <w:rPr>
          <w:rFonts w:eastAsiaTheme="minorHAnsi"/>
          <w:highlight w:val="white"/>
          <w:lang w:eastAsia="en-US"/>
        </w:rPr>
        <w:t xml:space="preserve"> общим к</w:t>
      </w:r>
      <w:r>
        <w:rPr>
          <w:rFonts w:eastAsiaTheme="minorHAnsi"/>
          <w:highlight w:val="white"/>
          <w:lang w:eastAsia="en-US"/>
        </w:rPr>
        <w:t xml:space="preserve">оличеств</w:t>
      </w:r>
      <w:r>
        <w:rPr>
          <w:rFonts w:eastAsiaTheme="minorHAnsi"/>
          <w:highlight w:val="white"/>
          <w:lang w:eastAsia="en-US"/>
        </w:rPr>
        <w:t xml:space="preserve">ом</w:t>
      </w:r>
      <w:r>
        <w:rPr>
          <w:rFonts w:eastAsiaTheme="minorHAnsi"/>
          <w:highlight w:val="white"/>
          <w:lang w:eastAsia="en-US"/>
        </w:rPr>
        <w:t xml:space="preserve"> обучающихся (воспитанников)</w:t>
      </w:r>
      <w:r>
        <w:rPr>
          <w:rFonts w:eastAsiaTheme="minorHAnsi"/>
          <w:highlight w:val="white"/>
          <w:lang w:eastAsia="en-US"/>
        </w:rPr>
        <w:t xml:space="preserve"> </w:t>
      </w:r>
      <w:r>
        <w:rPr>
          <w:rFonts w:eastAsiaTheme="minorHAnsi"/>
          <w:highlight w:val="white"/>
          <w:lang w:eastAsia="en-US"/>
        </w:rPr>
        <w:t xml:space="preserve">400</w:t>
      </w:r>
      <w:r>
        <w:rPr>
          <w:rFonts w:eastAsiaTheme="minorHAnsi"/>
          <w:highlight w:val="white"/>
          <w:lang w:eastAsia="en-US"/>
        </w:rPr>
        <w:t xml:space="preserve">,3 тыс. человек. </w:t>
      </w:r>
      <w:r>
        <w:rPr>
          <w:rFonts w:eastAsiaTheme="minorHAnsi"/>
          <w:highlight w:val="white"/>
          <w:lang w:eastAsia="en-US"/>
        </w:rPr>
        <w:t xml:space="preserve">Численность работников списочного состава образовательных организаций состав</w:t>
      </w:r>
      <w:r>
        <w:rPr>
          <w:rFonts w:eastAsiaTheme="minorHAnsi"/>
          <w:highlight w:val="white"/>
          <w:lang w:eastAsia="en-US"/>
        </w:rPr>
        <w:t xml:space="preserve">ил</w:t>
      </w:r>
      <w:r>
        <w:rPr>
          <w:rFonts w:eastAsiaTheme="minorHAnsi"/>
          <w:highlight w:val="white"/>
          <w:lang w:eastAsia="en-US"/>
        </w:rPr>
        <w:t xml:space="preserve">а</w:t>
      </w:r>
      <w:r>
        <w:rPr>
          <w:rFonts w:eastAsiaTheme="minorHAnsi"/>
          <w:highlight w:val="white"/>
          <w:lang w:eastAsia="en-US"/>
        </w:rPr>
        <w:t xml:space="preserve"> </w:t>
      </w:r>
      <w:r>
        <w:rPr>
          <w:rFonts w:eastAsiaTheme="minorHAnsi"/>
          <w:highlight w:val="white"/>
          <w:lang w:eastAsia="en-US"/>
        </w:rPr>
        <w:t xml:space="preserve">57,8</w:t>
      </w:r>
      <w:r>
        <w:rPr>
          <w:rFonts w:eastAsiaTheme="minorHAnsi"/>
          <w:highlight w:val="white"/>
          <w:lang w:eastAsia="en-US"/>
        </w:rPr>
        <w:t xml:space="preserve"> тыс. человек, из них </w:t>
      </w:r>
      <w:r>
        <w:rPr>
          <w:rFonts w:eastAsiaTheme="minorHAnsi"/>
          <w:highlight w:val="white"/>
          <w:lang w:eastAsia="en-US"/>
        </w:rPr>
        <w:t xml:space="preserve">29</w:t>
      </w:r>
      <w:r>
        <w:rPr>
          <w:rFonts w:eastAsiaTheme="minorHAnsi"/>
          <w:highlight w:val="white"/>
          <w:lang w:eastAsia="en-US"/>
        </w:rPr>
        <w:t xml:space="preserve">,</w:t>
      </w:r>
      <w:r>
        <w:rPr>
          <w:rFonts w:eastAsiaTheme="minorHAnsi"/>
          <w:highlight w:val="white"/>
          <w:lang w:eastAsia="en-US"/>
        </w:rPr>
        <w:t xml:space="preserve">7</w:t>
      </w:r>
      <w:r>
        <w:rPr>
          <w:rFonts w:eastAsiaTheme="minorHAnsi"/>
          <w:highlight w:val="white"/>
          <w:lang w:eastAsia="en-US"/>
        </w:rPr>
        <w:t xml:space="preserve"> тыс. педагогических и научных работников</w:t>
      </w:r>
      <w:r>
        <w:rPr>
          <w:rStyle w:val="1655"/>
          <w:rFonts w:eastAsiaTheme="minorHAnsi"/>
          <w:highlight w:val="white"/>
          <w:lang w:eastAsia="en-US"/>
        </w:rPr>
        <w:footnoteReference w:id="24"/>
      </w:r>
      <w:r>
        <w:rPr>
          <w:rFonts w:eastAsiaTheme="minorHAnsi"/>
          <w:highlight w:val="white"/>
          <w:lang w:eastAsia="en-US"/>
        </w:rPr>
        <w:t xml:space="preserve">. </w:t>
      </w:r>
      <w:r>
        <w:rPr>
          <w:rFonts w:eastAsiaTheme="minorHAnsi"/>
          <w:highlight w:val="white"/>
        </w:rPr>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i/>
          <w:highlight w:val="white"/>
          <w:lang w:eastAsia="en-US"/>
        </w:rPr>
        <w:t xml:space="preserve">В сеть учреждений культуры автономного округа</w:t>
      </w:r>
      <w:r>
        <w:rPr>
          <w:rFonts w:eastAsiaTheme="minorHAnsi"/>
          <w:highlight w:val="white"/>
          <w:lang w:eastAsia="en-US"/>
        </w:rPr>
        <w:t xml:space="preserve"> </w:t>
      </w:r>
      <w:r>
        <w:rPr>
          <w:rFonts w:eastAsiaTheme="minorHAnsi"/>
          <w:highlight w:val="white"/>
          <w:lang w:eastAsia="en-US"/>
        </w:rPr>
        <w:t xml:space="preserve">входят</w:t>
      </w:r>
      <w:r>
        <w:rPr>
          <w:rFonts w:eastAsiaTheme="minorHAnsi"/>
          <w:highlight w:val="white"/>
          <w:lang w:eastAsia="en-US"/>
        </w:rPr>
        <w:t xml:space="preserve"> </w:t>
      </w:r>
      <w:r>
        <w:rPr>
          <w:rFonts w:eastAsiaTheme="minorHAnsi"/>
          <w:highlight w:val="white"/>
          <w:lang w:eastAsia="en-US"/>
        </w:rPr>
        <w:t xml:space="preserve">529 организаций, в их числе 218 </w:t>
      </w:r>
      <w:r>
        <w:rPr>
          <w:rFonts w:eastAsiaTheme="minorHAnsi"/>
          <w:highlight w:val="white"/>
          <w:lang w:eastAsia="en-US"/>
        </w:rPr>
        <w:t xml:space="preserve">общедоступны</w:t>
      </w:r>
      <w:r>
        <w:rPr>
          <w:rFonts w:eastAsiaTheme="minorHAnsi"/>
          <w:highlight w:val="white"/>
          <w:lang w:eastAsia="en-US"/>
        </w:rPr>
        <w:t xml:space="preserve">х</w:t>
      </w:r>
      <w:r>
        <w:rPr>
          <w:rFonts w:eastAsiaTheme="minorHAnsi"/>
          <w:highlight w:val="white"/>
          <w:lang w:eastAsia="en-US"/>
        </w:rPr>
        <w:t xml:space="preserve"> (публичны</w:t>
      </w:r>
      <w:r>
        <w:rPr>
          <w:rFonts w:eastAsiaTheme="minorHAnsi"/>
          <w:highlight w:val="white"/>
          <w:lang w:eastAsia="en-US"/>
        </w:rPr>
        <w:t xml:space="preserve">х</w:t>
      </w:r>
      <w:r>
        <w:rPr>
          <w:rFonts w:eastAsiaTheme="minorHAnsi"/>
          <w:highlight w:val="white"/>
          <w:lang w:eastAsia="en-US"/>
        </w:rPr>
        <w:t xml:space="preserve">) библиотек</w:t>
      </w:r>
      <w:r>
        <w:rPr>
          <w:rFonts w:eastAsiaTheme="minorHAnsi"/>
          <w:highlight w:val="white"/>
          <w:lang w:eastAsia="en-US"/>
        </w:rPr>
        <w:t xml:space="preserve">, 202 </w:t>
      </w:r>
      <w:r>
        <w:rPr>
          <w:rFonts w:eastAsiaTheme="minorHAnsi"/>
          <w:highlight w:val="white"/>
          <w:lang w:eastAsia="en-US"/>
        </w:rPr>
        <w:t xml:space="preserve">организации культурно-досугового типа</w:t>
      </w:r>
      <w:r>
        <w:rPr>
          <w:rFonts w:eastAsiaTheme="minorHAnsi"/>
          <w:highlight w:val="white"/>
          <w:lang w:eastAsia="en-US"/>
        </w:rPr>
        <w:t xml:space="preserve">, 42 музея, 10 театров. </w:t>
      </w:r>
      <w:r>
        <w:rPr>
          <w:rFonts w:eastAsiaTheme="minorHAnsi"/>
          <w:highlight w:val="white"/>
        </w:rPr>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highlight w:val="white"/>
          <w:lang w:eastAsia="en-US"/>
        </w:rPr>
        <w:t xml:space="preserve">В январе-сентябре 2024 года в целях обе</w:t>
      </w:r>
      <w:r>
        <w:rPr>
          <w:rFonts w:eastAsiaTheme="minorHAnsi"/>
          <w:highlight w:val="white"/>
          <w:lang w:eastAsia="en-US"/>
        </w:rPr>
        <w:t xml:space="preserve">спечения прав граждан на доступ к культурным ценностям, сохранения исторического и культурного наследия учреждениями клубного типа реализовано более 40,0 тыс. мероприятий различных направлений и форм с общим охватом зрительской аудитории 4,7 млн. человек. </w:t>
      </w:r>
      <w:r>
        <w:rPr>
          <w:rFonts w:eastAsiaTheme="minorHAnsi"/>
          <w:highlight w:val="white"/>
        </w:rPr>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highlight w:val="white"/>
          <w:lang w:eastAsia="en-US"/>
        </w:rPr>
        <w:t xml:space="preserve">Переоснащены и дооборудованы 12 м</w:t>
      </w:r>
      <w:r>
        <w:rPr>
          <w:rFonts w:eastAsiaTheme="minorHAnsi"/>
          <w:highlight w:val="white"/>
          <w:lang w:eastAsia="en-US"/>
        </w:rPr>
        <w:t xml:space="preserve">узеев в городах: Мегион, Югорск, Нягань, Ханты-Мансийск и районах: Березовский, Нижневартовский, Сургутский. Открыто 12 модельных библиотек в городах: Мегион, Югорск, Нижневартовск, Покачи, Сургут и районах: Кондинский, Советский, Нефтеюганский, Белоярский</w:t>
      </w:r>
      <w:r>
        <w:rPr>
          <w:rStyle w:val="1655"/>
          <w:rFonts w:eastAsiaTheme="minorHAnsi"/>
          <w:highlight w:val="white"/>
          <w:lang w:eastAsia="en-US"/>
        </w:rPr>
        <w:footnoteReference w:id="25"/>
      </w:r>
      <w:r>
        <w:rPr>
          <w:rFonts w:eastAsiaTheme="minorHAnsi"/>
          <w:highlight w:val="white"/>
          <w:lang w:eastAsia="en-US"/>
        </w:rPr>
        <w:t xml:space="preserve">.</w:t>
      </w:r>
      <w:r>
        <w:rPr>
          <w:rFonts w:eastAsiaTheme="minorHAnsi"/>
          <w:highlight w:val="white"/>
        </w:rPr>
      </w:r>
      <w:r>
        <w:rPr>
          <w:rFonts w:eastAsiaTheme="minorHAnsi"/>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Занятость и безработица.</w:t>
      </w:r>
      <w:r>
        <w:rPr>
          <w:b/>
          <w:highlight w:val="white"/>
        </w:rPr>
        <w:t xml:space="preserve"> </w:t>
      </w:r>
      <w:r>
        <w:rPr>
          <w:highlight w:val="white"/>
        </w:rPr>
        <w:t xml:space="preserve">Численность рабочей силы, по данным выборочного обследования рабочей силы Росстата, в среднем за </w:t>
      </w:r>
      <w:r>
        <w:rPr>
          <w:highlight w:val="white"/>
        </w:rPr>
        <w:t xml:space="preserve">третий квартал </w:t>
      </w:r>
      <w:r>
        <w:rPr>
          <w:highlight w:val="white"/>
        </w:rPr>
        <w:t xml:space="preserve">202</w:t>
      </w:r>
      <w:r>
        <w:rPr>
          <w:highlight w:val="white"/>
        </w:rPr>
        <w:t xml:space="preserve">4</w:t>
      </w:r>
      <w:r>
        <w:rPr>
          <w:highlight w:val="white"/>
        </w:rPr>
        <w:t xml:space="preserve"> год</w:t>
      </w:r>
      <w:r>
        <w:rPr>
          <w:highlight w:val="white"/>
        </w:rPr>
        <w:t xml:space="preserve">а</w:t>
      </w:r>
      <w:r>
        <w:rPr>
          <w:highlight w:val="white"/>
        </w:rPr>
        <w:t xml:space="preserve"> составила в Югре </w:t>
      </w:r>
      <w:r>
        <w:rPr>
          <w:highlight w:val="white"/>
        </w:rPr>
        <w:t xml:space="preserve">940,2</w:t>
      </w:r>
      <w:r>
        <w:rPr>
          <w:highlight w:val="white"/>
        </w:rPr>
        <w:t xml:space="preserve"> тыс. человек, из которых 98,</w:t>
      </w:r>
      <w:r>
        <w:rPr>
          <w:highlight w:val="white"/>
        </w:rPr>
        <w:t xml:space="preserve">8</w:t>
      </w:r>
      <w:r>
        <w:rPr>
          <w:highlight w:val="white"/>
        </w:rPr>
        <w:t xml:space="preserve">% были заняты в экономике</w:t>
      </w:r>
      <w:r>
        <w:rPr>
          <w:highlight w:val="white"/>
        </w:rPr>
        <w:t xml:space="preserve"> (</w:t>
      </w:r>
      <w:r>
        <w:rPr>
          <w:highlight w:val="white"/>
        </w:rPr>
        <w:t xml:space="preserve">928,5 тыс. человек</w:t>
      </w:r>
      <w:r>
        <w:rPr>
          <w:highlight w:val="white"/>
        </w:rPr>
        <w:t xml:space="preserve">)</w:t>
      </w:r>
      <w:r>
        <w:rPr>
          <w:highlight w:val="white"/>
        </w:rPr>
        <w:t xml:space="preserve">, остальные не имели занятия, но активно его искали и в соответствии с методологией Международной Организации Труда классифицировались как безработные.</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В 2024 году ситуация на рынке труда Югры характеризуется снижением показателей, отражающих общую безработицу. По данным обследования рабочей силы по методологии Международной организации труда уровень безработи</w:t>
      </w:r>
      <w:r>
        <w:rPr>
          <w:highlight w:val="white"/>
        </w:rPr>
        <w:t xml:space="preserve">цы в автономном округе по состоянию на 1 января 2025 года составил 1,1%, что на 0,6 процентных пункта меньше, чем в аналогичном периоде 2024 года (1,7%), при этом показатель ниже, чем в целом по Российской Федерации (2,3%) и Уральскому федеральному округу </w:t>
      </w:r>
      <w:r>
        <w:rPr>
          <w:highlight w:val="white"/>
        </w:rPr>
        <w:t xml:space="preserve">(1,6%). Югра входит в 10 субъектов Российской Федерации с наилучшим показателем наряду с Ямало-Ненецким автономным округом, Республикой Удмуртия, Новгородской, Свердловской, Амурской, Нижегородской и Калужской областями, Хабаровским краем, городом Москва.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На регистрируемом рынке труда также наблюдается положительная динамика показател</w:t>
      </w:r>
      <w:r>
        <w:rPr>
          <w:highlight w:val="white"/>
        </w:rPr>
        <w:t xml:space="preserve">ей. По итогам 2024 года численность безработных граждан, зарегистрированных в органах службы занятости населения автономного округа, составила 2 026 человек на 1 января 2025 года, что на 27,2% меньше, чем годом ранее – 2 784 человека на 1 января 2024 года.</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Уровень регистрируемой безработицы составил 0,22% на 1 января 2025 года против 0,31% на 1 января 2024 года.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Заяв</w:t>
      </w:r>
      <w:r>
        <w:rPr>
          <w:highlight w:val="white"/>
        </w:rPr>
        <w:t xml:space="preserve">ленная работодателями потребность в работниках составила 16 640 свободных рабочих мест (вакантных должностей), по сравнению с аналогичной датой прошлого года количество вакансий уменьшилось на 5 259 единиц или 24,0% (на 1 января 2024 года – 21 899 единиц).</w:t>
      </w:r>
      <w:r>
        <w:rPr>
          <w:highlight w:val="white"/>
        </w:rPr>
      </w:r>
      <w:r>
        <w:rPr>
          <w:highlight w:val="white"/>
        </w:rPr>
      </w:r>
    </w:p>
    <w:p>
      <w:pPr>
        <w:ind w:firstLine="708"/>
        <w:spacing w:line="276" w:lineRule="auto"/>
        <w:shd w:val="clear" w:color="ffffff" w:themeColor="background1" w:fill="ffffff" w:themeFill="background1"/>
        <w:rPr>
          <w:highlight w:val="white"/>
        </w:rPr>
      </w:pPr>
      <w:r>
        <w:rPr>
          <w:highlight w:val="white"/>
        </w:rPr>
        <w:t xml:space="preserve">Коэффициент напряженности по округу на 1 января 2025 года составил 0,2 незанятых гражданина на 1 свободное рабочее место (на 1 января 2024 года – аналогичное значение).</w:t>
      </w:r>
      <w:r>
        <w:rPr>
          <w:highlight w:val="white"/>
        </w:rPr>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В течение 2024 года за содействием в поиске подходящей работы в органы службы занятости населения автономного округа обратились 18 860 человек, что на 42,3% меньше, чем годом ранее (в 2023 году – 32 693 человека). </w:t>
      </w:r>
      <w:r>
        <w:rPr>
          <w:highlight w:val="white"/>
        </w:rPr>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Численность граждан, признанных безработными в 2024 году, составила 6 463 человека и в сравнении с прошлым годом их численность снизилась на 23,1% (в 2023 году – 8 405 человек).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Из числа обратившихся в органы службы занятости населения автономного округа за содействием в поиске подходящей работы трудоустроено 9 961 человек или 47,2% (в 2023 году – 21 784 человека и 66,6% соответственно).</w:t>
      </w:r>
      <w:r>
        <w:rPr>
          <w:highlight w:val="white"/>
        </w:rPr>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На начало 2025 года в органах службы занятости населения Югры зарегистрировано 2 026 безработных граждан. </w:t>
      </w:r>
      <w:r>
        <w:rPr>
          <w:rFonts w:eastAsia="Microsoft Sans Serif" w:cs="Microsoft Sans Serif"/>
          <w:bCs/>
          <w:color w:val="000000"/>
          <w:highlight w:val="white"/>
        </w:rPr>
        <w:t xml:space="preserve">В их структуре 63,1% женщины составляют 63,1%; среди представителей различных возрастных групп, как и прежде, преобладают граждане в возрасте 30-49 лет (64,8%). </w:t>
      </w:r>
      <w:r>
        <w:rPr>
          <w:highlight w:val="white"/>
        </w:rPr>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Средняя продолжительность периода безработицы по округу на начало 2025 года составила 3,6 месяца, что на уровне показателя на начало 2024 года</w:t>
      </w:r>
      <w:r>
        <w:rPr>
          <w:rStyle w:val="1655"/>
          <w:highlight w:val="white"/>
        </w:rPr>
        <w:footnoteReference w:id="26"/>
      </w:r>
      <w:r>
        <w:rPr>
          <w:rFonts w:eastAsia="Microsoft Sans Serif" w:cs="Microsoft Sans Serif"/>
          <w:color w:val="000000"/>
          <w:highlight w:val="white"/>
        </w:rPr>
        <w:t xml:space="preserve">.</w:t>
      </w:r>
      <w:r>
        <w:rPr>
          <w:highlight w:val="white"/>
        </w:rPr>
      </w:r>
      <w:r>
        <w:rPr>
          <w:highlight w:val="white"/>
        </w:rPr>
      </w:r>
    </w:p>
    <w:p>
      <w:pPr>
        <w:ind w:firstLine="709"/>
        <w:spacing w:line="276" w:lineRule="auto"/>
        <w:shd w:val="clear" w:color="ffffff" w:themeColor="background1" w:fill="ffffff" w:themeFill="background1"/>
        <w:rPr>
          <w:highlight w:val="white"/>
        </w:rPr>
      </w:pPr>
      <w:r>
        <w:rPr>
          <w:b/>
          <w:i/>
          <w:highlight w:val="white"/>
        </w:rPr>
        <w:t xml:space="preserve">Миграция населения. </w:t>
      </w:r>
      <w:r>
        <w:rPr>
          <w:highlight w:val="white"/>
        </w:rPr>
        <w:t xml:space="preserve">По итогам</w:t>
      </w:r>
      <w:r>
        <w:rPr>
          <w:highlight w:val="white"/>
        </w:rPr>
        <w:t xml:space="preserve"> 202</w:t>
      </w:r>
      <w:r>
        <w:rPr>
          <w:highlight w:val="white"/>
        </w:rPr>
        <w:t xml:space="preserve">3</w:t>
      </w:r>
      <w:r>
        <w:rPr>
          <w:highlight w:val="white"/>
        </w:rPr>
        <w:t xml:space="preserve"> год</w:t>
      </w:r>
      <w:r>
        <w:rPr>
          <w:highlight w:val="white"/>
        </w:rPr>
        <w:t xml:space="preserve">а</w:t>
      </w:r>
      <w:r>
        <w:rPr>
          <w:highlight w:val="white"/>
        </w:rPr>
        <w:t xml:space="preserve"> миграционный прирост </w:t>
      </w:r>
      <w:r>
        <w:rPr>
          <w:highlight w:val="white"/>
        </w:rPr>
        <w:t xml:space="preserve">населения Югры </w:t>
      </w:r>
      <w:r>
        <w:rPr>
          <w:highlight w:val="white"/>
        </w:rPr>
        <w:t xml:space="preserve">составил </w:t>
      </w:r>
      <w:r>
        <w:rPr>
          <w:highlight w:val="white"/>
        </w:rPr>
        <w:t xml:space="preserve">21,0</w:t>
      </w:r>
      <w:r>
        <w:rPr>
          <w:highlight w:val="white"/>
        </w:rPr>
        <w:t xml:space="preserve"> тыс. человек</w:t>
      </w:r>
      <w:r>
        <w:rPr>
          <w:highlight w:val="white"/>
        </w:rPr>
        <w:t xml:space="preserve"> (</w:t>
      </w:r>
      <w:r>
        <w:rPr>
          <w:highlight w:val="white"/>
        </w:rPr>
        <w:t xml:space="preserve">в 202</w:t>
      </w:r>
      <w:r>
        <w:rPr>
          <w:highlight w:val="white"/>
        </w:rPr>
        <w:t xml:space="preserve">2</w:t>
      </w:r>
      <w:r>
        <w:rPr>
          <w:highlight w:val="white"/>
        </w:rPr>
        <w:t xml:space="preserve"> году – </w:t>
      </w:r>
      <w:r>
        <w:rPr>
          <w:highlight w:val="white"/>
        </w:rPr>
        <w:t xml:space="preserve">8,7</w:t>
      </w:r>
      <w:r>
        <w:rPr>
          <w:highlight w:val="white"/>
        </w:rPr>
        <w:t xml:space="preserve"> тыс</w:t>
      </w:r>
      <w:r>
        <w:rPr>
          <w:highlight w:val="white"/>
        </w:rPr>
        <w:t xml:space="preserve">.</w:t>
      </w:r>
      <w:r>
        <w:rPr>
          <w:highlight w:val="white"/>
        </w:rPr>
        <w:t xml:space="preserve"> человек, в 202</w:t>
      </w:r>
      <w:r>
        <w:rPr>
          <w:highlight w:val="white"/>
        </w:rPr>
        <w:t xml:space="preserve">1</w:t>
      </w:r>
      <w:r>
        <w:rPr>
          <w:highlight w:val="white"/>
        </w:rPr>
        <w:t xml:space="preserve"> году – </w:t>
      </w:r>
      <w:r>
        <w:rPr>
          <w:highlight w:val="white"/>
        </w:rPr>
        <w:t xml:space="preserve">9,3</w:t>
      </w:r>
      <w:r>
        <w:rPr>
          <w:highlight w:val="white"/>
        </w:rPr>
        <w:t xml:space="preserve"> </w:t>
      </w:r>
      <w:r>
        <w:rPr>
          <w:highlight w:val="white"/>
        </w:rPr>
        <w:t xml:space="preserve">тыс. </w:t>
      </w:r>
      <w:r>
        <w:rPr>
          <w:highlight w:val="white"/>
        </w:rPr>
        <w:t xml:space="preserve">чел</w:t>
      </w:r>
      <w:r>
        <w:rPr>
          <w:highlight w:val="white"/>
        </w:rPr>
        <w:t xml:space="preserve">овек, в 20</w:t>
      </w:r>
      <w:r>
        <w:rPr>
          <w:highlight w:val="white"/>
        </w:rPr>
        <w:t xml:space="preserve">20</w:t>
      </w:r>
      <w:r>
        <w:rPr>
          <w:highlight w:val="white"/>
        </w:rPr>
        <w:t xml:space="preserve"> году – </w:t>
      </w:r>
      <w:r>
        <w:rPr>
          <w:highlight w:val="white"/>
        </w:rPr>
        <w:t xml:space="preserve">5,5 тыс.</w:t>
      </w:r>
      <w:r>
        <w:rPr>
          <w:highlight w:val="white"/>
        </w:rPr>
        <w:t xml:space="preserve"> человек)</w:t>
      </w:r>
      <w:r>
        <w:rPr>
          <w:highlight w:val="white"/>
        </w:rPr>
        <w:t xml:space="preserve">, в основном, за </w:t>
      </w:r>
      <w:r>
        <w:rPr>
          <w:highlight w:val="white"/>
        </w:rPr>
        <w:t xml:space="preserve">счет передвижений</w:t>
      </w:r>
      <w:r>
        <w:rPr>
          <w:rStyle w:val="1655"/>
          <w:highlight w:val="white"/>
          <w:vertAlign w:val="baseline"/>
        </w:rPr>
        <w:t xml:space="preserve"> </w:t>
      </w:r>
      <w:r>
        <w:rPr>
          <w:highlight w:val="white"/>
        </w:rPr>
        <w:t xml:space="preserve">граждан </w:t>
      </w:r>
      <w:r>
        <w:rPr>
          <w:highlight w:val="white"/>
        </w:rPr>
        <w:t xml:space="preserve">из </w:t>
      </w:r>
      <w:r>
        <w:rPr>
          <w:highlight w:val="white"/>
        </w:rPr>
        <w:t xml:space="preserve">государств-участников</w:t>
      </w:r>
      <w:r>
        <w:rPr>
          <w:highlight w:val="white"/>
        </w:rPr>
        <w:t xml:space="preserve"> СНГ (</w:t>
      </w:r>
      <w:r>
        <w:rPr>
          <w:highlight w:val="white"/>
        </w:rPr>
        <w:t xml:space="preserve">14</w:t>
      </w:r>
      <w:r>
        <w:rPr>
          <w:highlight w:val="white"/>
        </w:rPr>
        <w:t xml:space="preserve"> </w:t>
      </w:r>
      <w:r>
        <w:rPr>
          <w:highlight w:val="white"/>
        </w:rPr>
        <w:t xml:space="preserve">239</w:t>
      </w:r>
      <w:r>
        <w:rPr>
          <w:highlight w:val="white"/>
        </w:rPr>
        <w:t xml:space="preserve"> человек) и в пределах России (</w:t>
      </w:r>
      <w:r>
        <w:rPr>
          <w:highlight w:val="white"/>
        </w:rPr>
        <w:t xml:space="preserve">6775</w:t>
      </w:r>
      <w:r>
        <w:rPr>
          <w:rStyle w:val="1655"/>
          <w:highlight w:val="white"/>
          <w:vertAlign w:val="baseline"/>
        </w:rPr>
        <w:t xml:space="preserve"> </w:t>
      </w:r>
      <w:r>
        <w:rPr>
          <w:highlight w:val="white"/>
        </w:rPr>
        <w:t xml:space="preserve">человек)</w:t>
      </w:r>
      <w:r>
        <w:rPr>
          <w:rStyle w:val="1655"/>
          <w:highlight w:val="white"/>
        </w:rPr>
        <w:footnoteReference w:id="27"/>
      </w:r>
      <w:r>
        <w:rPr>
          <w:highlight w:val="white"/>
        </w:rPr>
        <w:t xml:space="preserve">.</w:t>
      </w:r>
      <w:r>
        <w:rPr>
          <w:highlight w:val="white"/>
        </w:rPr>
        <w:t xml:space="preserve"> </w:t>
      </w:r>
      <w:r>
        <w:rPr>
          <w:highlight w:val="white"/>
        </w:rPr>
        <w:t xml:space="preserve">Регион привлекателен для переезда, что подтверждается миграцией трудоспособного населения. В структуре миграционного прироста по итогам 202</w:t>
      </w:r>
      <w:r>
        <w:rPr>
          <w:highlight w:val="white"/>
        </w:rPr>
        <w:t xml:space="preserve">3</w:t>
      </w:r>
      <w:r>
        <w:rPr>
          <w:highlight w:val="white"/>
        </w:rPr>
        <w:t xml:space="preserve"> года основная доля (</w:t>
      </w:r>
      <w:r>
        <w:rPr>
          <w:highlight w:val="white"/>
        </w:rPr>
        <w:t xml:space="preserve">60,1</w:t>
      </w:r>
      <w:r>
        <w:rPr>
          <w:highlight w:val="white"/>
        </w:rPr>
        <w:t xml:space="preserve">%) приходится на население трудоспособного возраста, доля </w:t>
      </w:r>
      <w:r>
        <w:rPr>
          <w:highlight w:val="white"/>
        </w:rPr>
        <w:t xml:space="preserve">лиц младше </w:t>
      </w:r>
      <w:r>
        <w:rPr>
          <w:highlight w:val="white"/>
        </w:rPr>
        <w:t xml:space="preserve">трудоспособного населения составила </w:t>
      </w:r>
      <w:r>
        <w:rPr>
          <w:highlight w:val="white"/>
        </w:rPr>
        <w:t xml:space="preserve">32,1</w:t>
      </w:r>
      <w:r>
        <w:rPr>
          <w:highlight w:val="white"/>
        </w:rPr>
        <w:t xml:space="preserve">%, на миграцию населения старше трудоспособного возраста приходится </w:t>
      </w:r>
      <w:r>
        <w:rPr>
          <w:highlight w:val="white"/>
        </w:rPr>
        <w:t xml:space="preserve">7,8</w:t>
      </w:r>
      <w:r>
        <w:rPr>
          <w:highlight w:val="white"/>
        </w:rPr>
        <w:t xml:space="preserve">%.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Коэффициент миграционной прибыли на 10 000 населения в 2023 году составил 120,6 (в 2022 году коэффициент миграционной прибыли составил 50,4).</w:t>
      </w:r>
      <w:r>
        <w:rPr>
          <w:highlight w:val="white"/>
        </w:rPr>
        <w:t xml:space="preserve"> </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t xml:space="preserve">По состоянию на 1 января 2024 года в автономном округе фактически значились состоящими на миграционном учете 40 870 иностранных граждан (2022 год – 54 258; -25%). Основной миграционный поток приходился на граждан </w:t>
      </w:r>
      <w:r>
        <w:rPr>
          <w:highlight w:val="white"/>
        </w:rPr>
        <w:t xml:space="preserve">стран</w:t>
      </w:r>
      <w:r>
        <w:rPr>
          <w:highlight w:val="white"/>
        </w:rPr>
        <w:t xml:space="preserve"> СНГ, что в количественном выражении составляет 98,3% (68 222) от общего числа иностранных граждан, поставленных на миграционн</w:t>
      </w:r>
      <w:r>
        <w:rPr>
          <w:highlight w:val="white"/>
        </w:rPr>
        <w:t xml:space="preserve">ый учет первично (69 669). Подавляющее большинство лиц, прибывших на территорию автономного округа, составляют выходцы из Республик Таджикистан – 44% (29 805) и Узбекистан – 27% (18 209). Среди иностранных граждан, въехавших на основании визы, преобладают </w:t>
      </w:r>
      <w:r>
        <w:rPr>
          <w:highlight w:val="white"/>
        </w:rPr>
        <w:t xml:space="preserve">прибывшие из Китая (489), Индии (109), Грузии (87), Турции (77), Германии (60) и Сербии (59). По результатам 2023 го</w:t>
      </w:r>
      <w:r>
        <w:rPr>
          <w:highlight w:val="white"/>
        </w:rPr>
        <w:t xml:space="preserve">да имела место тенденция увеличения числа иностранных граждан и лиц без гражданства, оформивших визы на въезд в Российскую Федерацию (2022 год – 203; 2023 год – 280; +37,9%) и приглашения (2022 год – 152; 2023 год – 186; +22,4%). Сократилось количество лиц</w:t>
      </w:r>
      <w:r>
        <w:rPr>
          <w:highlight w:val="white"/>
        </w:rPr>
        <w:t xml:space="preserve">, приобретших гражданство Российской Федерации (2022 год – 17 153 человека; 2023 год – 16 280; -5,1%), в том числе в упрощенном порядке – 16 202 (2022 год – 17 064; -5%). Удостоверено наличие гражданства Российской Федерации 4 563 детям (2022 год – 6 211; </w:t>
      </w:r>
      <w:r>
        <w:rPr>
          <w:highlight w:val="white"/>
        </w:rPr>
        <w:br/>
      </w:r>
      <w:r>
        <w:rPr>
          <w:highlight w:val="white"/>
        </w:rPr>
        <w:t xml:space="preserve">-26%). В рамках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принято к рассмотрению 763 заявления об участии </w:t>
      </w:r>
      <w:r>
        <w:rPr>
          <w:highlight w:val="white"/>
        </w:rPr>
        <w:t xml:space="preserve">в Государственной программе (2022 год – 795; -4%), оформлено 446 свидетельств участника Программы (2022 год – 575; -22%). В течение 2023 года на территорию автономного округа переселилось 1 038 соотечественников и членов их семей (2022 год – 1 287; -19,3%)</w:t>
      </w:r>
      <w:r>
        <w:rPr>
          <w:rStyle w:val="1655"/>
          <w:highlight w:val="white"/>
        </w:rPr>
        <w:footnoteReference w:id="28"/>
      </w:r>
      <w:r>
        <w:rPr>
          <w:highlight w:val="white"/>
        </w:rPr>
        <w:t xml:space="preserve">.</w:t>
      </w:r>
      <w:r>
        <w:rPr>
          <w:highlight w:val="white"/>
        </w:rPr>
      </w:r>
      <w:r>
        <w:rPr>
          <w:highlight w:val="white"/>
        </w:rPr>
      </w:r>
    </w:p>
    <w:p>
      <w:pPr>
        <w:ind w:firstLine="709"/>
        <w:spacing w:line="276" w:lineRule="auto"/>
        <w:shd w:val="clear" w:color="ffffff" w:themeColor="background1" w:fill="ffffff" w:themeFill="background1"/>
        <w:rPr>
          <w:highlight w:val="white"/>
        </w:rPr>
      </w:pPr>
      <w:r>
        <w:rPr>
          <w:highlight w:val="white"/>
        </w:rPr>
      </w:r>
      <w:r>
        <w:rPr>
          <w:highlight w:val="white"/>
        </w:rPr>
      </w:r>
      <w:r>
        <w:rPr>
          <w:highlight w:val="white"/>
        </w:rPr>
      </w:r>
    </w:p>
    <w:p>
      <w:pPr>
        <w:ind w:firstLine="709"/>
        <w:spacing w:line="276" w:lineRule="auto"/>
        <w:shd w:val="clear" w:color="ffffff" w:themeColor="background1" w:fill="ffffff" w:themeFill="background1"/>
        <w:tabs>
          <w:tab w:val="left" w:pos="9540" w:leader="none"/>
        </w:tabs>
        <w:rPr>
          <w:highlight w:val="white"/>
        </w:rPr>
      </w:pPr>
      <w:r>
        <w:rPr>
          <w:highlight w:val="white"/>
          <w:lang w:eastAsia="en-US"/>
        </w:rPr>
      </w:r>
      <w:r>
        <w:rPr>
          <w:highlight w:val="white"/>
        </w:rPr>
      </w:r>
      <w:r>
        <w:rPr>
          <w:highlight w:val="white"/>
        </w:rPr>
      </w:r>
    </w:p>
    <w:p>
      <w:pPr>
        <w:ind w:firstLine="0"/>
        <w:jc w:val="left"/>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color w:val="ff0000"/>
          <w:highlight w:val="yellow"/>
        </w:rPr>
        <w:sectPr>
          <w:headerReference w:type="default" r:id="rId9"/>
          <w:headerReference w:type="first" r:id="rId10"/>
          <w:footerReference w:type="first" r:id="rId16"/>
          <w:footnotePr/>
          <w:endnotePr/>
          <w:type w:val="nextPage"/>
          <w:pgSz w:w="11906" w:h="16838" w:orient="portrait"/>
          <w:pgMar w:top="1134" w:right="851" w:bottom="1134" w:left="1701" w:header="709" w:footer="709" w:gutter="0"/>
          <w:cols w:num="1" w:sep="0" w:space="708" w:equalWidth="1"/>
          <w:docGrid w:linePitch="360"/>
        </w:sectPr>
        <w:outlineLvl w:val="1"/>
      </w:pPr>
      <w:r>
        <w:rPr>
          <w:b/>
          <w:color w:val="ff0000"/>
          <w:highlight w:val="yellow"/>
        </w:rPr>
      </w:r>
      <w:r>
        <w:rPr>
          <w:b/>
          <w:color w:val="ff0000"/>
          <w:highlight w:val="yellow"/>
        </w:rPr>
      </w:r>
      <w:r>
        <w:rPr>
          <w:b/>
          <w:color w:val="ff0000"/>
          <w:highlight w:val="yellow"/>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rPr>
          <w:b/>
        </w:rPr>
      </w:r>
      <w:r>
        <w:rPr>
          <w:b/>
        </w:rPr>
      </w:r>
    </w:p>
    <w:p>
      <w:pPr>
        <w:pStyle w:val="1661"/>
        <w:ind w:firstLine="709"/>
        <w:jc w:val="both"/>
        <w:spacing w:after="0" w:line="276" w:lineRule="auto"/>
        <w:rPr>
          <w:b/>
          <w:sz w:val="28"/>
          <w:szCs w:val="28"/>
          <w:lang w:val="ru-RU"/>
        </w:rPr>
      </w:pPr>
      <w:r>
        <w:rPr>
          <w:b/>
          <w:sz w:val="28"/>
          <w:szCs w:val="28"/>
          <w:lang w:val="ru-RU"/>
        </w:rPr>
      </w:r>
      <w:r>
        <w:rPr>
          <w:b/>
          <w:sz w:val="28"/>
          <w:szCs w:val="28"/>
          <w:lang w:val="ru-RU"/>
        </w:rPr>
      </w:r>
      <w:r>
        <w:rPr>
          <w:b/>
          <w:sz w:val="28"/>
          <w:szCs w:val="28"/>
          <w:lang w:val="ru-RU"/>
        </w:rPr>
      </w:r>
    </w:p>
    <w:p>
      <w:pPr>
        <w:pStyle w:val="1661"/>
        <w:ind w:firstLine="709"/>
        <w:spacing w:after="0" w:line="276" w:lineRule="auto"/>
        <w:rPr>
          <w:b/>
          <w:i/>
          <w:sz w:val="28"/>
          <w:szCs w:val="28"/>
        </w:rPr>
      </w:pPr>
      <w:r>
        <w:rPr>
          <w:b/>
          <w:i/>
          <w:sz w:val="28"/>
          <w:szCs w:val="28"/>
        </w:rPr>
        <w:t xml:space="preserve">Анализ динамики болезненности наркоманией</w:t>
      </w:r>
      <w:r>
        <w:rPr>
          <w:b/>
          <w:i/>
          <w:sz w:val="28"/>
          <w:szCs w:val="28"/>
        </w:rPr>
      </w:r>
      <w:r>
        <w:rPr>
          <w:b/>
          <w:i/>
          <w:sz w:val="28"/>
          <w:szCs w:val="28"/>
        </w:rPr>
      </w:r>
    </w:p>
    <w:p>
      <w:pPr>
        <w:pStyle w:val="1661"/>
        <w:ind w:firstLine="709"/>
        <w:jc w:val="both"/>
        <w:spacing w:after="0" w:line="276" w:lineRule="auto"/>
        <w:rPr>
          <w:sz w:val="28"/>
          <w:szCs w:val="28"/>
        </w:rPr>
      </w:pPr>
      <w:r>
        <w:rPr>
          <w:sz w:val="28"/>
          <w:szCs w:val="28"/>
          <w:lang w:val="ru-RU"/>
        </w:rPr>
        <w:t xml:space="preserve">Мероприятия</w:t>
      </w:r>
      <w:r>
        <w:rPr>
          <w:sz w:val="28"/>
          <w:szCs w:val="28"/>
        </w:rPr>
        <w:t xml:space="preserve"> по противодействию незаконному обороту наркотиков и распространению наркомании</w:t>
      </w:r>
      <w:r>
        <w:rPr>
          <w:sz w:val="28"/>
          <w:szCs w:val="28"/>
          <w:lang w:val="ru-RU"/>
        </w:rPr>
        <w:t xml:space="preserve">, </w:t>
      </w:r>
      <w:r>
        <w:rPr>
          <w:sz w:val="28"/>
          <w:szCs w:val="28"/>
        </w:rPr>
        <w:t xml:space="preserve">проводимые на территории </w:t>
        <w:br/>
        <w:t xml:space="preserve">Ханты-Мансийского автономного округа –</w:t>
      </w:r>
      <w:r>
        <w:rPr>
          <w:sz w:val="28"/>
          <w:szCs w:val="28"/>
          <w:lang w:val="ru-RU"/>
        </w:rPr>
        <w:t xml:space="preserve"> </w:t>
      </w:r>
      <w:r>
        <w:rPr>
          <w:sz w:val="28"/>
          <w:szCs w:val="28"/>
        </w:rPr>
        <w:t xml:space="preserve">Югры субъектами антинаркотической деятельности оказывают положительное влияние на </w:t>
      </w:r>
      <w:r>
        <w:rPr>
          <w:sz w:val="28"/>
          <w:szCs w:val="28"/>
          <w:lang w:val="ru-RU"/>
        </w:rPr>
        <w:t xml:space="preserve">динамику </w:t>
      </w:r>
      <w:r>
        <w:rPr>
          <w:sz w:val="28"/>
          <w:szCs w:val="28"/>
        </w:rPr>
        <w:t xml:space="preserve">наркоситуаци</w:t>
      </w:r>
      <w:r>
        <w:rPr>
          <w:sz w:val="28"/>
          <w:szCs w:val="28"/>
          <w:lang w:val="ru-RU"/>
        </w:rPr>
        <w:t xml:space="preserve">и</w:t>
      </w:r>
      <w:r>
        <w:rPr>
          <w:sz w:val="28"/>
          <w:szCs w:val="28"/>
        </w:rPr>
        <w:t xml:space="preserve">:</w:t>
      </w:r>
      <w:r>
        <w:rPr>
          <w:sz w:val="28"/>
          <w:szCs w:val="28"/>
        </w:rPr>
      </w:r>
      <w:r>
        <w:rPr>
          <w:sz w:val="28"/>
          <w:szCs w:val="28"/>
        </w:rPr>
      </w:r>
    </w:p>
    <w:p>
      <w:pPr>
        <w:pStyle w:val="1661"/>
        <w:ind w:firstLine="709"/>
        <w:jc w:val="both"/>
        <w:spacing w:after="0" w:line="276" w:lineRule="auto"/>
        <w:tabs>
          <w:tab w:val="left" w:pos="993" w:leader="none"/>
        </w:tabs>
        <w:rPr>
          <w:sz w:val="28"/>
          <w:szCs w:val="28"/>
        </w:rPr>
      </w:pPr>
      <w:r>
        <w:rPr>
          <w:sz w:val="28"/>
          <w:szCs w:val="28"/>
        </w:rPr>
        <w:t xml:space="preserve">сократил</w:t>
      </w:r>
      <w:r>
        <w:rPr>
          <w:sz w:val="28"/>
          <w:szCs w:val="28"/>
          <w:lang w:val="ru-RU"/>
        </w:rPr>
        <w:t xml:space="preserve">ась</w:t>
      </w:r>
      <w:r>
        <w:rPr>
          <w:sz w:val="28"/>
          <w:szCs w:val="28"/>
        </w:rPr>
        <w:t xml:space="preserve"> общая численность </w:t>
      </w:r>
      <w:r>
        <w:rPr>
          <w:sz w:val="28"/>
          <w:szCs w:val="28"/>
          <w:lang w:val="ru-RU"/>
        </w:rPr>
        <w:t xml:space="preserve">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r>
        <w:rPr>
          <w:sz w:val="28"/>
          <w:szCs w:val="28"/>
        </w:rPr>
      </w:r>
      <w:r>
        <w:rPr>
          <w:sz w:val="28"/>
          <w:szCs w:val="28"/>
        </w:rPr>
      </w:r>
    </w:p>
    <w:p>
      <w:pPr>
        <w:pStyle w:val="1661"/>
        <w:ind w:firstLine="709"/>
        <w:jc w:val="both"/>
        <w:spacing w:after="0" w:line="276" w:lineRule="auto"/>
        <w:tabs>
          <w:tab w:val="left" w:pos="993" w:leader="none"/>
        </w:tabs>
        <w:rPr>
          <w:sz w:val="28"/>
          <w:szCs w:val="28"/>
        </w:rPr>
      </w:pPr>
      <w:r>
        <w:rPr>
          <w:sz w:val="28"/>
          <w:szCs w:val="28"/>
        </w:rPr>
        <w:t xml:space="preserve">сократил</w:t>
      </w:r>
      <w:r>
        <w:rPr>
          <w:sz w:val="28"/>
          <w:szCs w:val="28"/>
          <w:lang w:val="ru-RU"/>
        </w:rPr>
        <w:t xml:space="preserve">ась</w:t>
      </w:r>
      <w:r>
        <w:rPr>
          <w:sz w:val="28"/>
          <w:szCs w:val="28"/>
        </w:rPr>
        <w:t xml:space="preserve"> общая численность состоящих </w:t>
      </w:r>
      <w:r>
        <w:rPr>
          <w:sz w:val="28"/>
          <w:szCs w:val="28"/>
          <w:lang w:val="ru-RU"/>
        </w:rPr>
        <w:t xml:space="preserve">под наблюдением врача-психиатра-нарколога потребителей наркотиков как с синдромом зависимости, так и с пагубным употреблением наркотиков.</w:t>
      </w:r>
      <w:r>
        <w:rPr>
          <w:sz w:val="28"/>
          <w:szCs w:val="28"/>
        </w:rPr>
      </w:r>
      <w:r>
        <w:rPr>
          <w:sz w:val="28"/>
          <w:szCs w:val="28"/>
        </w:rPr>
      </w:r>
    </w:p>
    <w:p>
      <w:pPr>
        <w:pStyle w:val="1661"/>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xml:space="preserve">) в </w:t>
      </w:r>
      <w:r>
        <w:rPr>
          <w:sz w:val="28"/>
          <w:szCs w:val="28"/>
          <w:lang w:val="ru-RU"/>
        </w:rPr>
        <w:t xml:space="preserve">Югре</w:t>
      </w:r>
      <w:r>
        <w:rPr>
          <w:sz w:val="28"/>
          <w:szCs w:val="28"/>
        </w:rPr>
        <w:t xml:space="preserve"> сни</w:t>
      </w:r>
      <w:r>
        <w:rPr>
          <w:sz w:val="28"/>
          <w:szCs w:val="28"/>
          <w:lang w:val="ru-RU"/>
        </w:rPr>
        <w:t xml:space="preserve">зилась </w:t>
      </w:r>
      <w:r>
        <w:rPr>
          <w:sz w:val="28"/>
          <w:szCs w:val="28"/>
        </w:rPr>
        <w:t xml:space="preserve">(</w:t>
      </w:r>
      <w:r>
        <w:rPr>
          <w:sz w:val="28"/>
          <w:szCs w:val="28"/>
          <w:lang w:val="ru-RU"/>
        </w:rPr>
        <w:t xml:space="preserve">см. </w:t>
      </w:r>
      <w:r>
        <w:rPr>
          <w:sz w:val="28"/>
          <w:szCs w:val="28"/>
        </w:rPr>
        <w:t xml:space="preserve">рис. 1), в 20</w:t>
      </w:r>
      <w:r>
        <w:rPr>
          <w:sz w:val="28"/>
          <w:szCs w:val="28"/>
          <w:lang w:val="ru-RU"/>
        </w:rPr>
        <w:t xml:space="preserve">24</w:t>
      </w:r>
      <w:r>
        <w:rPr>
          <w:sz w:val="28"/>
          <w:szCs w:val="28"/>
        </w:rPr>
        <w:t xml:space="preserve"> г</w:t>
      </w:r>
      <w:r>
        <w:rPr>
          <w:sz w:val="28"/>
          <w:szCs w:val="28"/>
          <w:lang w:val="ru-RU"/>
        </w:rPr>
        <w:t xml:space="preserve">оду</w:t>
      </w:r>
      <w:r>
        <w:rPr>
          <w:sz w:val="28"/>
          <w:szCs w:val="28"/>
        </w:rPr>
        <w:t xml:space="preserve"> показатель составил </w:t>
      </w:r>
      <w:r>
        <w:rPr>
          <w:sz w:val="28"/>
          <w:szCs w:val="28"/>
          <w:lang w:val="ru-RU"/>
        </w:rPr>
        <w:t xml:space="preserve">92,9</w:t>
      </w:r>
      <w:r>
        <w:rPr>
          <w:sz w:val="28"/>
          <w:szCs w:val="28"/>
        </w:rPr>
        <w:t xml:space="preserve"> на 100 </w:t>
      </w:r>
      <w:r>
        <w:rPr>
          <w:sz w:val="28"/>
          <w:szCs w:val="28"/>
        </w:rPr>
        <w:t xml:space="preserve">тыс. </w:t>
      </w:r>
      <w:r>
        <w:rPr>
          <w:sz w:val="28"/>
          <w:szCs w:val="28"/>
          <w:lang w:val="ru-RU"/>
        </w:rPr>
        <w:t xml:space="preserve">населения (абс. 1634)</w:t>
      </w:r>
      <w:r>
        <w:rPr>
          <w:sz w:val="28"/>
          <w:szCs w:val="28"/>
        </w:rPr>
        <w:t xml:space="preserve">, в 20</w:t>
      </w:r>
      <w:r>
        <w:rPr>
          <w:sz w:val="28"/>
          <w:szCs w:val="28"/>
          <w:lang w:val="ru-RU"/>
        </w:rPr>
        <w:t xml:space="preserve">23</w:t>
      </w:r>
      <w:r>
        <w:rPr>
          <w:sz w:val="28"/>
          <w:szCs w:val="28"/>
        </w:rPr>
        <w:t xml:space="preserve"> году </w:t>
      </w:r>
      <w:r>
        <w:rPr>
          <w:sz w:val="28"/>
          <w:szCs w:val="28"/>
          <w:lang w:val="ru-RU"/>
        </w:rPr>
        <w:t xml:space="preserve">96,6 на 100 </w:t>
      </w:r>
      <w:r>
        <w:rPr>
          <w:sz w:val="28"/>
          <w:szCs w:val="28"/>
          <w:lang w:val="ru-RU"/>
        </w:rPr>
        <w:t xml:space="preserve">тыс. </w:t>
      </w:r>
      <w:r>
        <w:rPr>
          <w:sz w:val="28"/>
          <w:szCs w:val="28"/>
          <w:lang w:val="ru-RU"/>
        </w:rPr>
        <w:t xml:space="preserve">населения (абс. 1686)</w:t>
      </w:r>
      <w:r>
        <w:rPr>
          <w:sz w:val="28"/>
          <w:szCs w:val="28"/>
        </w:rPr>
        <w:t xml:space="preserve">, снижение составило </w:t>
      </w:r>
      <w:r>
        <w:rPr>
          <w:sz w:val="28"/>
          <w:szCs w:val="28"/>
          <w:lang w:val="ru-RU"/>
        </w:rPr>
        <w:t xml:space="preserve">3,8 </w:t>
      </w:r>
      <w:r>
        <w:rPr>
          <w:sz w:val="28"/>
          <w:szCs w:val="28"/>
        </w:rPr>
        <w:t xml:space="preserve">%</w:t>
      </w:r>
      <w:r>
        <w:rPr>
          <w:sz w:val="28"/>
          <w:szCs w:val="28"/>
          <w:lang w:val="ru-RU"/>
        </w:rPr>
        <w:t xml:space="preserve">.</w:t>
      </w:r>
      <w:r>
        <w:rPr>
          <w:sz w:val="28"/>
          <w:szCs w:val="28"/>
        </w:rPr>
        <w:t xml:space="preserve"> </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470185" cy="2174519"/>
                <wp:effectExtent l="6350" t="6350" r="635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0"/>
                        <a:stretch/>
                      </pic:blipFill>
                      <pic:spPr bwMode="auto">
                        <a:xfrm>
                          <a:off x="0" y="0"/>
                          <a:ext cx="5470184" cy="2174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30.72pt;height:171.22pt;mso-wrap-distance-left:0.00pt;mso-wrap-distance-top:0.00pt;mso-wrap-distance-right:0.00pt;mso-wrap-distance-bottom:0.00pt;" stroked="f">
                <v:path textboxrect="0,0,0,0"/>
                <v:imagedata r:id="rId20"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Рис.1. Динамика показателя болезненности наркоманией</w:t>
      </w:r>
      <w:r>
        <w:rPr>
          <w:sz w:val="28"/>
          <w:szCs w:val="28"/>
          <w:lang w:val="ru-RU"/>
        </w:rPr>
        <w:t xml:space="preserve"> в 2020</w:t>
      </w:r>
      <w:r>
        <w:rPr>
          <w:sz w:val="28"/>
          <w:szCs w:val="28"/>
          <w:lang w:val="ru-RU"/>
        </w:rPr>
        <w:t xml:space="preserve"> </w:t>
      </w:r>
      <w:r>
        <w:rPr>
          <w:sz w:val="28"/>
          <w:szCs w:val="28"/>
          <w:lang w:val="ru-RU"/>
        </w:rPr>
        <w:t xml:space="preserve">-</w:t>
      </w:r>
      <w:r>
        <w:rPr>
          <w:sz w:val="28"/>
          <w:szCs w:val="28"/>
          <w:lang w:val="ru-RU"/>
        </w:rPr>
        <w:t xml:space="preserve"> </w:t>
      </w:r>
      <w:r>
        <w:rPr>
          <w:sz w:val="28"/>
          <w:szCs w:val="28"/>
          <w:lang w:val="ru-RU"/>
        </w:rPr>
        <w:t xml:space="preserve">2024 гг. </w:t>
      </w:r>
      <w:r>
        <w:rPr>
          <w:sz w:val="28"/>
          <w:szCs w:val="28"/>
        </w:rPr>
      </w:r>
      <w:r>
        <w:rPr>
          <w:sz w:val="28"/>
          <w:szCs w:val="28"/>
        </w:rPr>
      </w:r>
    </w:p>
    <w:p>
      <w:pPr>
        <w:pStyle w:val="1661"/>
        <w:ind w:firstLine="0"/>
        <w:jc w:val="center"/>
        <w:spacing w:after="0"/>
        <w:rPr>
          <w:sz w:val="28"/>
          <w:szCs w:val="28"/>
        </w:rPr>
      </w:pPr>
      <w:r>
        <w:rPr>
          <w:sz w:val="28"/>
          <w:szCs w:val="28"/>
        </w:rPr>
        <w:t xml:space="preserve">(на 100 </w:t>
      </w:r>
      <w:r>
        <w:rPr>
          <w:sz w:val="28"/>
          <w:szCs w:val="28"/>
        </w:rPr>
        <w:t xml:space="preserve">тыс. </w:t>
      </w:r>
      <w:r>
        <w:rPr>
          <w:sz w:val="28"/>
          <w:szCs w:val="28"/>
        </w:rPr>
        <w:t xml:space="preserve">населения)</w:t>
      </w:r>
      <w:r>
        <w:rPr>
          <w:sz w:val="28"/>
          <w:szCs w:val="28"/>
        </w:rPr>
      </w:r>
      <w:r>
        <w:rPr>
          <w:sz w:val="28"/>
          <w:szCs w:val="28"/>
        </w:rPr>
      </w:r>
    </w:p>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Здесь и далее динамика </w:t>
      </w:r>
      <w:r>
        <w:rPr>
          <w:rFonts w:ascii="Times New Roman" w:hAnsi="Times New Roman"/>
        </w:rPr>
        <w:t xml:space="preserve">РФ и УрФО </w:t>
      </w:r>
      <w:r>
        <w:rPr>
          <w:rFonts w:ascii="Times New Roman" w:hAnsi="Times New Roman"/>
        </w:rPr>
        <w:t xml:space="preserve">приведена в сравнении с 2022 годом. </w:t>
      </w:r>
      <w:r>
        <w:rPr>
          <w:rFonts w:ascii="Times New Roman" w:hAnsi="Times New Roman"/>
        </w:rPr>
        <w:t xml:space="preserve">Сведения за 2023 год по РФ и УрФО не публиковались.</w:t>
      </w:r>
      <w:r>
        <w:rPr>
          <w:rFonts w:ascii="Times New Roman" w:hAnsi="Times New Roman"/>
        </w:rPr>
      </w:r>
      <w:r>
        <w:rPr>
          <w:rFonts w:ascii="Times New Roman" w:hAnsi="Times New Roman"/>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 xml:space="preserve">в Российской Федерации за 20</w:t>
      </w:r>
      <w:r>
        <w:rPr>
          <w:sz w:val="28"/>
          <w:szCs w:val="28"/>
          <w:lang w:val="ru-RU"/>
        </w:rPr>
        <w:t xml:space="preserve">22</w:t>
      </w:r>
      <w:r>
        <w:rPr>
          <w:sz w:val="28"/>
          <w:szCs w:val="28"/>
        </w:rPr>
        <w:t xml:space="preserve"> год</w:t>
      </w:r>
      <w:bookmarkStart w:id="0" w:name="_Ref189598293"/>
      <w:r>
        <w:rPr>
          <w:rStyle w:val="1655"/>
          <w:sz w:val="28"/>
          <w:szCs w:val="28"/>
        </w:rPr>
        <w:footnoteReference w:id="29"/>
      </w:r>
      <w:bookmarkEnd w:id="0"/>
      <w:r>
        <w:rPr>
          <w:sz w:val="28"/>
          <w:szCs w:val="28"/>
        </w:rPr>
        <w:t xml:space="preserve"> состав</w:t>
      </w:r>
      <w:r>
        <w:rPr>
          <w:sz w:val="28"/>
          <w:szCs w:val="28"/>
          <w:lang w:val="ru-RU"/>
        </w:rPr>
        <w:t xml:space="preserve">ляет</w:t>
      </w:r>
      <w:r>
        <w:rPr>
          <w:sz w:val="28"/>
          <w:szCs w:val="28"/>
        </w:rPr>
        <w:t xml:space="preserve"> </w:t>
      </w:r>
      <w:r>
        <w:rPr>
          <w:sz w:val="28"/>
          <w:szCs w:val="28"/>
          <w:lang w:val="ru-RU"/>
        </w:rPr>
        <w:t xml:space="preserve">157,8</w:t>
      </w:r>
      <w:r>
        <w:rPr>
          <w:sz w:val="28"/>
          <w:szCs w:val="28"/>
        </w:rPr>
        <w:t xml:space="preserve"> на 100 </w:t>
      </w:r>
      <w:r>
        <w:rPr>
          <w:sz w:val="28"/>
          <w:szCs w:val="28"/>
        </w:rPr>
        <w:t xml:space="preserve">тыс. </w:t>
      </w:r>
      <w:r>
        <w:rPr>
          <w:sz w:val="28"/>
          <w:szCs w:val="28"/>
        </w:rPr>
        <w:t xml:space="preserve">населения, по Уральскому Федеральному округу в 20</w:t>
      </w:r>
      <w:r>
        <w:rPr>
          <w:sz w:val="28"/>
          <w:szCs w:val="28"/>
          <w:lang w:val="ru-RU"/>
        </w:rPr>
        <w:t xml:space="preserve">22</w:t>
      </w:r>
      <w:r>
        <w:rPr>
          <w:sz w:val="28"/>
          <w:szCs w:val="28"/>
        </w:rPr>
        <w:t xml:space="preserve"> году – </w:t>
      </w:r>
      <w:r>
        <w:rPr>
          <w:sz w:val="28"/>
          <w:szCs w:val="28"/>
          <w:lang w:val="ru-RU"/>
        </w:rPr>
        <w:t xml:space="preserve">168,0</w:t>
      </w:r>
      <w:r>
        <w:rPr>
          <w:sz w:val="28"/>
          <w:szCs w:val="28"/>
        </w:rPr>
        <w:t xml:space="preserve"> на 100 </w:t>
      </w:r>
      <w:r>
        <w:rPr>
          <w:sz w:val="28"/>
          <w:szCs w:val="28"/>
        </w:rPr>
        <w:t xml:space="preserve">тыс. </w:t>
      </w:r>
      <w:r>
        <w:rPr>
          <w:sz w:val="28"/>
          <w:szCs w:val="28"/>
        </w:rPr>
        <w:t xml:space="preserve">населения.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разрезе муниципальных образований (</w:t>
      </w:r>
      <w:r>
        <w:rPr>
          <w:sz w:val="28"/>
          <w:szCs w:val="28"/>
          <w:lang w:val="ru-RU"/>
        </w:rPr>
        <w:t xml:space="preserve">см. </w:t>
      </w:r>
      <w:r>
        <w:rPr>
          <w:sz w:val="28"/>
          <w:szCs w:val="28"/>
          <w:lang w:val="ru-RU"/>
        </w:rPr>
        <w:t xml:space="preserve">р</w:t>
      </w:r>
      <w:r>
        <w:rPr>
          <w:sz w:val="28"/>
          <w:szCs w:val="28"/>
        </w:rPr>
        <w:t xml:space="preserve">ис. 2) уровень болезненности наркоманией </w:t>
      </w:r>
      <w:r>
        <w:rPr>
          <w:sz w:val="28"/>
          <w:szCs w:val="28"/>
          <w:lang w:val="ru-RU"/>
        </w:rPr>
        <w:t xml:space="preserve">в 2024 году </w:t>
      </w:r>
      <w:r>
        <w:rPr>
          <w:sz w:val="28"/>
          <w:szCs w:val="28"/>
        </w:rPr>
        <w:t xml:space="preserve">имеет тенденцию к </w:t>
      </w:r>
      <w:r>
        <w:rPr>
          <w:sz w:val="28"/>
          <w:szCs w:val="28"/>
          <w:lang w:val="ru-RU"/>
        </w:rPr>
        <w:t xml:space="preserve">увеличению на территории г. Ханты-Мансийска на 17,2 %, что составило 173,6 на 100 </w:t>
      </w:r>
      <w:r>
        <w:rPr>
          <w:sz w:val="28"/>
          <w:szCs w:val="28"/>
          <w:lang w:val="ru-RU"/>
        </w:rPr>
        <w:t xml:space="preserve">тыс. </w:t>
      </w:r>
      <w:r>
        <w:rPr>
          <w:sz w:val="28"/>
          <w:szCs w:val="28"/>
          <w:lang w:val="ru-RU"/>
        </w:rPr>
        <w:t xml:space="preserve">населения (абс. 194; в 2023 г. – 148,1 на 100 </w:t>
      </w:r>
      <w:r>
        <w:rPr>
          <w:sz w:val="28"/>
          <w:szCs w:val="28"/>
          <w:lang w:val="ru-RU"/>
        </w:rPr>
        <w:t xml:space="preserve">тыс. </w:t>
      </w:r>
      <w:r>
        <w:rPr>
          <w:sz w:val="28"/>
          <w:szCs w:val="28"/>
          <w:lang w:val="ru-RU"/>
        </w:rPr>
        <w:t xml:space="preserve">населения, абс. 164); на территории г. Сургута на 3,4 %, что составило 78,0 на 100 </w:t>
      </w:r>
      <w:r>
        <w:rPr>
          <w:sz w:val="28"/>
          <w:szCs w:val="28"/>
          <w:lang w:val="ru-RU"/>
        </w:rPr>
        <w:t xml:space="preserve">тыс. </w:t>
      </w:r>
      <w:r>
        <w:rPr>
          <w:sz w:val="28"/>
          <w:szCs w:val="28"/>
          <w:lang w:val="ru-RU"/>
        </w:rPr>
        <w:t xml:space="preserve">населения (абс. 328;</w:t>
      </w:r>
      <w:r>
        <w:rPr>
          <w:sz w:val="28"/>
          <w:szCs w:val="28"/>
          <w:lang w:val="ru-RU"/>
        </w:rPr>
        <w:t xml:space="preserve"> в 2023 г. – 75,4 на 100 </w:t>
      </w:r>
      <w:r>
        <w:rPr>
          <w:sz w:val="28"/>
          <w:szCs w:val="28"/>
          <w:lang w:val="ru-RU"/>
        </w:rPr>
        <w:t xml:space="preserve">тыс. </w:t>
      </w:r>
      <w:r>
        <w:rPr>
          <w:sz w:val="28"/>
          <w:szCs w:val="28"/>
          <w:lang w:val="ru-RU"/>
        </w:rPr>
        <w:t xml:space="preserve">населения, абс. 311); </w:t>
      </w:r>
      <w:r>
        <w:rPr>
          <w:sz w:val="28"/>
          <w:szCs w:val="28"/>
          <w:lang w:val="ru-RU"/>
        </w:rPr>
        <w:t xml:space="preserve">на территории Сургутского района на 8,5 %, что составило 89,3 на 100 </w:t>
      </w:r>
      <w:r>
        <w:rPr>
          <w:sz w:val="28"/>
          <w:szCs w:val="28"/>
          <w:lang w:val="ru-RU"/>
        </w:rPr>
        <w:t xml:space="preserve">тыс. </w:t>
      </w:r>
      <w:r>
        <w:rPr>
          <w:sz w:val="28"/>
          <w:szCs w:val="28"/>
          <w:lang w:val="ru-RU"/>
        </w:rPr>
        <w:t xml:space="preserve">населения (абс. 115; в 2023 г. – 82,3 на 100 </w:t>
      </w:r>
      <w:r>
        <w:rPr>
          <w:sz w:val="28"/>
          <w:szCs w:val="28"/>
          <w:lang w:val="ru-RU"/>
        </w:rPr>
        <w:t xml:space="preserve">тыс. </w:t>
      </w:r>
      <w:r>
        <w:rPr>
          <w:sz w:val="28"/>
          <w:szCs w:val="28"/>
          <w:lang w:val="ru-RU"/>
        </w:rPr>
        <w:t xml:space="preserve">населения, абс. 105) и на территории Ханты-Мансийского района на 21,7 %, что составило 57,8 на 100 </w:t>
      </w:r>
      <w:r>
        <w:rPr>
          <w:sz w:val="28"/>
          <w:szCs w:val="28"/>
          <w:lang w:val="ru-RU"/>
        </w:rPr>
        <w:t xml:space="preserve">тыс. </w:t>
      </w:r>
      <w:r>
        <w:rPr>
          <w:sz w:val="28"/>
          <w:szCs w:val="28"/>
          <w:lang w:val="ru-RU"/>
        </w:rPr>
        <w:t xml:space="preserve">населения (абс. 11; в 2023 г. – 47,5 на 100 </w:t>
      </w:r>
      <w:r>
        <w:rPr>
          <w:sz w:val="28"/>
          <w:szCs w:val="28"/>
          <w:lang w:val="ru-RU"/>
        </w:rPr>
        <w:t xml:space="preserve">тыс. </w:t>
      </w:r>
      <w:r>
        <w:rPr>
          <w:sz w:val="28"/>
          <w:szCs w:val="28"/>
          <w:lang w:val="ru-RU"/>
        </w:rPr>
        <w:t xml:space="preserve">населения, абс. 9).</w:t>
      </w:r>
      <w:r>
        <w:rPr>
          <w:sz w:val="28"/>
          <w:szCs w:val="28"/>
          <w:lang w:val="ru-RU"/>
        </w:rPr>
        <w:t xml:space="preserve"> </w:t>
      </w:r>
      <w:r>
        <w:rPr>
          <w:sz w:val="28"/>
          <w:szCs w:val="28"/>
          <w:lang w:val="ru-RU"/>
        </w:rPr>
        <w:t xml:space="preserve">В г</w:t>
      </w:r>
      <w:r>
        <w:rPr>
          <w:sz w:val="28"/>
          <w:szCs w:val="28"/>
          <w:lang w:val="ru-RU"/>
        </w:rPr>
        <w:t xml:space="preserve">ородах Когалым и </w:t>
      </w:r>
      <w:r>
        <w:rPr>
          <w:sz w:val="28"/>
          <w:szCs w:val="28"/>
          <w:lang w:val="ru-RU"/>
        </w:rPr>
        <w:t xml:space="preserve">Покачи и</w:t>
      </w:r>
      <w:r>
        <w:rPr>
          <w:sz w:val="28"/>
          <w:szCs w:val="28"/>
          <w:lang w:val="ru-RU"/>
        </w:rPr>
        <w:t xml:space="preserve"> в</w:t>
      </w:r>
      <w:r>
        <w:rPr>
          <w:sz w:val="28"/>
          <w:szCs w:val="28"/>
          <w:lang w:val="ru-RU"/>
        </w:rPr>
        <w:t xml:space="preserve">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соответственно на 0,9% (в 2024 г. – 31,3 на 100 </w:t>
      </w:r>
      <w:r>
        <w:rPr>
          <w:sz w:val="28"/>
          <w:szCs w:val="28"/>
          <w:lang w:val="ru-RU"/>
        </w:rPr>
        <w:t xml:space="preserve">тыс. </w:t>
      </w:r>
      <w:r>
        <w:rPr>
          <w:sz w:val="28"/>
          <w:szCs w:val="28"/>
          <w:lang w:val="ru-RU"/>
        </w:rPr>
        <w:t xml:space="preserve">населения, в 2023 г. – 31,6 на 100 </w:t>
      </w:r>
      <w:r>
        <w:rPr>
          <w:sz w:val="28"/>
          <w:szCs w:val="28"/>
          <w:lang w:val="ru-RU"/>
        </w:rPr>
        <w:t xml:space="preserve">тыс. </w:t>
      </w:r>
      <w:r>
        <w:rPr>
          <w:sz w:val="28"/>
          <w:szCs w:val="28"/>
          <w:lang w:val="ru-RU"/>
        </w:rPr>
        <w:t xml:space="preserve">населения), на 1,6% (в 2024 г. – 6,0 на 100 </w:t>
      </w:r>
      <w:r>
        <w:rPr>
          <w:sz w:val="28"/>
          <w:szCs w:val="28"/>
          <w:lang w:val="ru-RU"/>
        </w:rPr>
        <w:t xml:space="preserve">тыс. </w:t>
      </w:r>
      <w:r>
        <w:rPr>
          <w:sz w:val="28"/>
          <w:szCs w:val="28"/>
          <w:lang w:val="ru-RU"/>
        </w:rPr>
        <w:t xml:space="preserve">населения, в</w:t>
      </w:r>
      <w:r>
        <w:rPr>
          <w:sz w:val="28"/>
          <w:szCs w:val="28"/>
          <w:lang w:val="ru-RU"/>
        </w:rPr>
        <w:t xml:space="preserve"> </w:t>
      </w:r>
      <w:r>
        <w:rPr>
          <w:sz w:val="28"/>
          <w:szCs w:val="28"/>
          <w:lang w:val="ru-RU"/>
        </w:rPr>
        <w:t xml:space="preserve">2023</w:t>
      </w:r>
      <w:r>
        <w:rPr>
          <w:sz w:val="28"/>
          <w:szCs w:val="28"/>
          <w:lang w:val="ru-RU"/>
        </w:rPr>
        <w:t xml:space="preserve"> </w:t>
      </w:r>
      <w:r>
        <w:rPr>
          <w:sz w:val="28"/>
          <w:szCs w:val="28"/>
          <w:lang w:val="ru-RU"/>
        </w:rPr>
        <w:t xml:space="preserve">г</w:t>
      </w:r>
      <w:r>
        <w:rPr>
          <w:sz w:val="28"/>
          <w:szCs w:val="28"/>
          <w:lang w:val="ru-RU"/>
        </w:rPr>
        <w:t xml:space="preserve">. – 6,1 на 100 </w:t>
      </w:r>
      <w:r>
        <w:rPr>
          <w:sz w:val="28"/>
          <w:szCs w:val="28"/>
          <w:lang w:val="ru-RU"/>
        </w:rPr>
        <w:t xml:space="preserve">тыс. </w:t>
      </w:r>
      <w:r>
        <w:rPr>
          <w:sz w:val="28"/>
          <w:szCs w:val="28"/>
          <w:lang w:val="ru-RU"/>
        </w:rPr>
        <w:t xml:space="preserve">населения) и на 1,4% (в 2024 г. – 7,2 на 100 </w:t>
      </w:r>
      <w:r>
        <w:rPr>
          <w:sz w:val="28"/>
          <w:szCs w:val="28"/>
          <w:lang w:val="ru-RU"/>
        </w:rPr>
        <w:t xml:space="preserve">тыс. </w:t>
      </w:r>
      <w:r>
        <w:rPr>
          <w:sz w:val="28"/>
          <w:szCs w:val="28"/>
          <w:lang w:val="ru-RU"/>
        </w:rPr>
        <w:t xml:space="preserve">населения, в 2023 г. – 7,3 на 100 </w:t>
      </w:r>
      <w:r>
        <w:rPr>
          <w:sz w:val="28"/>
          <w:szCs w:val="28"/>
          <w:lang w:val="ru-RU"/>
        </w:rPr>
        <w:t xml:space="preserve">тыс. </w:t>
      </w:r>
      <w:r>
        <w:rPr>
          <w:sz w:val="28"/>
          <w:szCs w:val="28"/>
          <w:lang w:val="ru-RU"/>
        </w:rPr>
        <w:t xml:space="preserve">населения). </w:t>
      </w:r>
      <w:r>
        <w:rPr>
          <w:sz w:val="28"/>
          <w:szCs w:val="28"/>
          <w:lang w:val="ru-RU"/>
        </w:rPr>
        <w:t xml:space="preserve">В</w:t>
      </w:r>
      <w:r>
        <w:rPr>
          <w:sz w:val="28"/>
          <w:szCs w:val="28"/>
          <w:lang w:val="ru-RU"/>
        </w:rPr>
        <w:t xml:space="preserve"> </w:t>
      </w:r>
      <w:r>
        <w:rPr>
          <w:sz w:val="28"/>
          <w:szCs w:val="28"/>
          <w:lang w:val="ru-RU"/>
        </w:rPr>
        <w:t xml:space="preserve">Белоярском</w:t>
      </w:r>
      <w:r>
        <w:rPr>
          <w:sz w:val="28"/>
          <w:szCs w:val="28"/>
          <w:lang w:val="ru-RU"/>
        </w:rPr>
        <w:t xml:space="preserve"> и Кондинском районах сохраняется болезненность наркоманией на уровне 2023 года (7,0 на 100 </w:t>
      </w:r>
      <w:r>
        <w:rPr>
          <w:sz w:val="28"/>
          <w:szCs w:val="28"/>
          <w:lang w:val="ru-RU"/>
        </w:rPr>
        <w:t xml:space="preserve">тыс. </w:t>
      </w:r>
      <w:r>
        <w:rPr>
          <w:sz w:val="28"/>
          <w:szCs w:val="28"/>
          <w:lang w:val="ru-RU"/>
        </w:rPr>
        <w:t xml:space="preserve">населения</w:t>
      </w:r>
      <w:r>
        <w:rPr>
          <w:sz w:val="28"/>
          <w:szCs w:val="28"/>
          <w:lang w:val="ru-RU"/>
        </w:rPr>
        <w:t xml:space="preserve">, абс. 2 для Белоярского района и </w:t>
      </w:r>
      <w:r>
        <w:rPr>
          <w:sz w:val="28"/>
          <w:szCs w:val="28"/>
          <w:lang w:val="ru-RU"/>
        </w:rPr>
        <w:t xml:space="preserve">9,9 на 100 </w:t>
      </w:r>
      <w:r>
        <w:rPr>
          <w:sz w:val="28"/>
          <w:szCs w:val="28"/>
          <w:lang w:val="ru-RU"/>
        </w:rPr>
        <w:t xml:space="preserve">тыс. </w:t>
      </w:r>
      <w:r>
        <w:rPr>
          <w:sz w:val="28"/>
          <w:szCs w:val="28"/>
          <w:lang w:val="ru-RU"/>
        </w:rPr>
        <w:t xml:space="preserve">населения, абс. 2 для </w:t>
      </w:r>
      <w:r>
        <w:rPr>
          <w:sz w:val="28"/>
          <w:szCs w:val="28"/>
          <w:lang w:val="ru-RU"/>
        </w:rPr>
        <w:t xml:space="preserve">Кондинского</w:t>
      </w:r>
      <w:r>
        <w:rPr>
          <w:sz w:val="28"/>
          <w:szCs w:val="28"/>
          <w:lang w:val="ru-RU"/>
        </w:rPr>
        <w:t xml:space="preserve"> района). В других муниципальных образованиях автономного округа отмечается снижение уровня болезненности наркоманией.</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В тоже время отмечается превышение уровня окружного показателя болезненности наркоманией в г. Югорске и в Советском районе в 2,3 раза и составляет 211,6 и 212,9 на 100 </w:t>
      </w:r>
      <w:r>
        <w:rPr>
          <w:sz w:val="28"/>
          <w:szCs w:val="28"/>
          <w:lang w:val="ru-RU"/>
        </w:rPr>
        <w:t xml:space="preserve">тыс. </w:t>
      </w:r>
      <w:r>
        <w:rPr>
          <w:sz w:val="28"/>
          <w:szCs w:val="28"/>
          <w:lang w:val="ru-RU"/>
        </w:rPr>
        <w:t xml:space="preserve">населения соответственно</w:t>
      </w:r>
      <w:r>
        <w:rPr>
          <w:sz w:val="28"/>
          <w:szCs w:val="28"/>
          <w:lang w:val="ru-RU"/>
        </w:rPr>
        <w:t xml:space="preserve"> </w:t>
      </w:r>
      <w:r>
        <w:rPr>
          <w:sz w:val="28"/>
          <w:szCs w:val="28"/>
          <w:lang w:val="ru-RU"/>
        </w:rPr>
        <w:t xml:space="preserve">(</w:t>
      </w:r>
      <w:r>
        <w:rPr>
          <w:sz w:val="28"/>
          <w:szCs w:val="28"/>
          <w:lang w:val="ru-RU"/>
        </w:rPr>
        <w:t xml:space="preserve">в абсолютных значениях – 83 и </w:t>
      </w:r>
      <w:r>
        <w:rPr>
          <w:sz w:val="28"/>
          <w:szCs w:val="28"/>
          <w:lang w:val="ru-RU"/>
        </w:rPr>
        <w:t xml:space="preserve">99 случаев</w:t>
      </w:r>
      <w:r>
        <w:rPr>
          <w:sz w:val="28"/>
          <w:szCs w:val="28"/>
          <w:lang w:val="ru-RU"/>
        </w:rPr>
        <w:t xml:space="preserve">)</w:t>
      </w:r>
      <w:r>
        <w:rPr>
          <w:sz w:val="28"/>
          <w:szCs w:val="28"/>
          <w:lang w:val="ru-RU"/>
        </w:rPr>
        <w:t xml:space="preserve">; в г. Ханты-Мансийск</w:t>
      </w:r>
      <w:r>
        <w:rPr>
          <w:sz w:val="28"/>
          <w:szCs w:val="28"/>
          <w:lang w:val="ru-RU"/>
        </w:rPr>
        <w:t xml:space="preserve">е</w:t>
      </w:r>
      <w:r>
        <w:rPr>
          <w:sz w:val="28"/>
          <w:szCs w:val="28"/>
          <w:lang w:val="ru-RU"/>
        </w:rPr>
        <w:t xml:space="preserve"> в 1,9 раза и составляет 173,6 на 100 </w:t>
      </w:r>
      <w:r>
        <w:rPr>
          <w:sz w:val="28"/>
          <w:szCs w:val="28"/>
          <w:lang w:val="ru-RU"/>
        </w:rPr>
        <w:t xml:space="preserve">тыс. </w:t>
      </w:r>
      <w:r>
        <w:rPr>
          <w:sz w:val="28"/>
          <w:szCs w:val="28"/>
          <w:lang w:val="ru-RU"/>
        </w:rPr>
        <w:t xml:space="preserve">населения (аб</w:t>
      </w:r>
      <w:r>
        <w:rPr>
          <w:sz w:val="28"/>
          <w:szCs w:val="28"/>
          <w:lang w:val="ru-RU"/>
        </w:rPr>
        <w:t xml:space="preserve">с. 194);</w:t>
      </w:r>
      <w:r>
        <w:rPr>
          <w:sz w:val="28"/>
          <w:szCs w:val="28"/>
          <w:lang w:val="ru-RU"/>
        </w:rPr>
        <w:t xml:space="preserve"> в г. Пыть-Ях</w:t>
      </w:r>
      <w:r>
        <w:rPr>
          <w:sz w:val="28"/>
          <w:szCs w:val="28"/>
          <w:lang w:val="ru-RU"/>
        </w:rPr>
        <w:t xml:space="preserve">е</w:t>
      </w:r>
      <w:r>
        <w:rPr>
          <w:sz w:val="28"/>
          <w:szCs w:val="28"/>
          <w:lang w:val="ru-RU"/>
        </w:rPr>
        <w:t xml:space="preserve"> в 1,7 раза и составляет 155,4 на 100 </w:t>
      </w:r>
      <w:r>
        <w:rPr>
          <w:sz w:val="28"/>
          <w:szCs w:val="28"/>
          <w:lang w:val="ru-RU"/>
        </w:rPr>
        <w:t xml:space="preserve">тыс. </w:t>
      </w:r>
      <w:r>
        <w:rPr>
          <w:sz w:val="28"/>
          <w:szCs w:val="28"/>
          <w:lang w:val="ru-RU"/>
        </w:rPr>
        <w:t xml:space="preserve">населения (абс. 63), а также в г</w:t>
      </w:r>
      <w:r>
        <w:rPr>
          <w:sz w:val="28"/>
          <w:szCs w:val="28"/>
          <w:lang w:val="ru-RU"/>
        </w:rPr>
        <w:t xml:space="preserve">ородах</w:t>
      </w:r>
      <w:r>
        <w:rPr>
          <w:sz w:val="28"/>
          <w:szCs w:val="28"/>
          <w:lang w:val="ru-RU"/>
        </w:rPr>
        <w:t xml:space="preserve"> Нижневартовск (на 50,1%), Мегион (на 15,4%) и Нягань (</w:t>
      </w:r>
      <w:r>
        <w:rPr>
          <w:sz w:val="28"/>
          <w:szCs w:val="28"/>
          <w:lang w:val="ru-RU"/>
        </w:rPr>
        <w:t xml:space="preserve">на</w:t>
      </w:r>
      <w:r>
        <w:rPr>
          <w:sz w:val="28"/>
          <w:szCs w:val="28"/>
          <w:lang w:val="ru-RU"/>
        </w:rPr>
        <w:t xml:space="preserve"> 6,9%).</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11899" cy="30956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1"/>
                        <a:stretch/>
                      </pic:blipFill>
                      <pic:spPr bwMode="auto">
                        <a:xfrm>
                          <a:off x="0" y="0"/>
                          <a:ext cx="6054563" cy="317032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5.50pt;height:243.75pt;mso-wrap-distance-left:0.00pt;mso-wrap-distance-top:0.00pt;mso-wrap-distance-right:0.00pt;mso-wrap-distance-bottom:0.00pt;" stroked="f">
                <v:path textboxrect="0,0,0,0"/>
                <v:imagedata r:id="rId21" o:title=""/>
              </v:shape>
            </w:pict>
          </mc:Fallback>
        </mc:AlternateContent>
      </w:r>
      <w:r>
        <w:rPr>
          <w:sz w:val="28"/>
          <w:szCs w:val="28"/>
        </w:rPr>
      </w:r>
      <w:r>
        <w:rPr>
          <w:sz w:val="28"/>
          <w:szCs w:val="28"/>
        </w:rPr>
      </w:r>
    </w:p>
    <w:p>
      <w:pPr>
        <w:jc w:val="center"/>
        <w:spacing w:line="240" w:lineRule="auto"/>
      </w:pPr>
      <w:r>
        <w:t xml:space="preserve">Рис. 2. Болезненность наркоманией в 2023 </w:t>
      </w:r>
      <w:r>
        <w:t xml:space="preserve">-</w:t>
      </w:r>
      <w:r>
        <w:t xml:space="preserve"> 2024 гг. в разрезе муниципальных территорий (на 100 </w:t>
      </w:r>
      <w:r>
        <w:t xml:space="preserve">тыс. </w:t>
      </w:r>
      <w:r>
        <w:t xml:space="preserve">населения)</w:t>
      </w:r>
      <w:r/>
    </w:p>
    <w:p>
      <w:pPr>
        <w:ind w:firstLine="709"/>
        <w:spacing w:line="276" w:lineRule="auto"/>
      </w:pPr>
      <w:r/>
      <w:r/>
    </w:p>
    <w:p>
      <w:pPr>
        <w:pStyle w:val="1661"/>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см. р</w:t>
      </w:r>
      <w:r>
        <w:rPr>
          <w:sz w:val="28"/>
          <w:szCs w:val="28"/>
        </w:rPr>
        <w:t xml:space="preserve">ис. 3) </w:t>
      </w:r>
      <w:r>
        <w:rPr>
          <w:sz w:val="28"/>
          <w:szCs w:val="28"/>
          <w:lang w:val="ru-RU"/>
        </w:rPr>
        <w:t xml:space="preserve">58,0 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 (потребление других наркотиков и их сочетаний) </w:t>
      </w:r>
      <w:r>
        <w:rPr>
          <w:sz w:val="28"/>
          <w:szCs w:val="28"/>
        </w:rPr>
        <w:t xml:space="preserve">(20</w:t>
      </w:r>
      <w:r>
        <w:rPr>
          <w:sz w:val="28"/>
          <w:szCs w:val="28"/>
          <w:lang w:val="ru-RU"/>
        </w:rPr>
        <w:t xml:space="preserve">23</w:t>
      </w:r>
      <w:r>
        <w:rPr>
          <w:sz w:val="28"/>
          <w:szCs w:val="28"/>
        </w:rPr>
        <w:t xml:space="preserve"> г. – </w:t>
      </w:r>
      <w:r>
        <w:rPr>
          <w:sz w:val="28"/>
          <w:szCs w:val="28"/>
          <w:lang w:val="ru-RU"/>
        </w:rPr>
        <w:t xml:space="preserve">55,2 %</w:t>
      </w:r>
      <w:r>
        <w:rPr>
          <w:sz w:val="28"/>
          <w:szCs w:val="28"/>
        </w:rPr>
        <w:t xml:space="preserve">), </w:t>
      </w:r>
      <w:r>
        <w:rPr>
          <w:sz w:val="28"/>
          <w:szCs w:val="28"/>
          <w:lang w:val="ru-RU"/>
        </w:rPr>
        <w:t xml:space="preserve">25,5 </w:t>
      </w:r>
      <w:r>
        <w:rPr>
          <w:sz w:val="28"/>
          <w:szCs w:val="28"/>
        </w:rPr>
        <w:t xml:space="preserve">% -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23</w:t>
      </w:r>
      <w:r>
        <w:rPr>
          <w:sz w:val="28"/>
          <w:szCs w:val="28"/>
        </w:rPr>
        <w:t xml:space="preserve"> г.- </w:t>
      </w:r>
      <w:r>
        <w:rPr>
          <w:sz w:val="28"/>
          <w:szCs w:val="28"/>
          <w:lang w:val="ru-RU"/>
        </w:rPr>
        <w:t xml:space="preserve">28,5 </w:t>
      </w:r>
      <w:r>
        <w:rPr>
          <w:sz w:val="28"/>
          <w:szCs w:val="28"/>
        </w:rPr>
        <w:t xml:space="preserve">%), </w:t>
      </w:r>
      <w:r>
        <w:rPr>
          <w:sz w:val="28"/>
          <w:szCs w:val="28"/>
          <w:lang w:val="ru-RU"/>
        </w:rPr>
        <w:t xml:space="preserve">10,1 </w:t>
      </w:r>
      <w:r>
        <w:rPr>
          <w:sz w:val="28"/>
          <w:szCs w:val="28"/>
        </w:rPr>
        <w:t xml:space="preserve">% -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6,5 </w:t>
      </w:r>
      <w:r>
        <w:rPr>
          <w:sz w:val="28"/>
          <w:szCs w:val="28"/>
        </w:rPr>
        <w:t xml:space="preserve">% - с зависимостью от каннабиноидов (в 20</w:t>
      </w:r>
      <w:r>
        <w:rPr>
          <w:sz w:val="28"/>
          <w:szCs w:val="28"/>
          <w:lang w:val="ru-RU"/>
        </w:rPr>
        <w:t xml:space="preserve">23</w:t>
      </w:r>
      <w:r>
        <w:rPr>
          <w:sz w:val="28"/>
          <w:szCs w:val="28"/>
        </w:rPr>
        <w:t xml:space="preserve"> г</w:t>
      </w:r>
      <w:r>
        <w:rPr>
          <w:sz w:val="28"/>
          <w:szCs w:val="28"/>
          <w:lang w:val="ru-RU"/>
        </w:rPr>
        <w:t xml:space="preserve">.</w:t>
      </w:r>
      <w:r>
        <w:rPr>
          <w:sz w:val="28"/>
          <w:szCs w:val="28"/>
        </w:rPr>
        <w:t xml:space="preserve"> – </w:t>
      </w:r>
      <w:r>
        <w:rPr>
          <w:sz w:val="28"/>
          <w:szCs w:val="28"/>
          <w:lang w:val="ru-RU"/>
        </w:rPr>
        <w:t xml:space="preserve">9,6 % и 6,7 % соответственно</w:t>
      </w:r>
      <w:r>
        <w:rPr>
          <w:sz w:val="28"/>
          <w:szCs w:val="28"/>
        </w:rPr>
        <w:t xml:space="preserve">). </w:t>
      </w:r>
      <w:r>
        <w:rPr>
          <w:sz w:val="28"/>
          <w:szCs w:val="28"/>
        </w:rPr>
      </w:r>
      <w:r>
        <w:rPr>
          <w:sz w:val="28"/>
          <w:szCs w:val="28"/>
        </w:rPr>
      </w:r>
    </w:p>
    <w:p>
      <w:pPr>
        <w:pStyle w:val="1661"/>
        <w:ind w:firstLine="0"/>
        <w:jc w:val="both"/>
        <w:spacing w:after="0"/>
        <w:rPr>
          <w:sz w:val="28"/>
          <w:szCs w:val="28"/>
        </w:rPr>
      </w:pPr>
      <w:r>
        <w:rPr>
          <w:sz w:val="28"/>
          <w:szCs w:val="28"/>
        </w:rPr>
        <mc:AlternateContent>
          <mc:Choice Requires="wpg">
            <w:drawing>
              <wp:inline xmlns:wp="http://schemas.openxmlformats.org/drawingml/2006/wordprocessingDrawing" distT="0" distB="0" distL="0" distR="0">
                <wp:extent cx="5943600" cy="32004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2"/>
                        <a:stretch/>
                      </pic:blipFill>
                      <pic:spPr bwMode="auto">
                        <a:xfrm>
                          <a:off x="0" y="0"/>
                          <a:ext cx="5943600" cy="320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00pt;height:252.00pt;mso-wrap-distance-left:0.00pt;mso-wrap-distance-top:0.00pt;mso-wrap-distance-right:0.00pt;mso-wrap-distance-bottom:0.00pt;" stroked="f">
                <v:path textboxrect="0,0,0,0"/>
                <v:imagedata r:id="rId22" o:title=""/>
              </v:shape>
            </w:pict>
          </mc:Fallback>
        </mc:AlternateContent>
      </w:r>
      <w:r>
        <w:rPr>
          <w:sz w:val="28"/>
          <w:szCs w:val="28"/>
        </w:rPr>
      </w:r>
      <w:r>
        <w:rPr>
          <w:sz w:val="28"/>
          <w:szCs w:val="28"/>
        </w:rPr>
      </w:r>
    </w:p>
    <w:p>
      <w:pPr>
        <w:pStyle w:val="1659"/>
        <w:jc w:val="center"/>
        <w:spacing w:after="0"/>
        <w:widowControl w:val="off"/>
        <w:rPr>
          <w:sz w:val="28"/>
          <w:szCs w:val="28"/>
        </w:rPr>
      </w:pPr>
      <w:r>
        <w:rPr>
          <w:sz w:val="28"/>
          <w:szCs w:val="28"/>
        </w:rPr>
        <w:t xml:space="preserve">Рис. 3. Структура наркопотребления по болезненности в 2023 </w:t>
      </w:r>
      <w:r>
        <w:rPr>
          <w:sz w:val="28"/>
          <w:szCs w:val="28"/>
        </w:rPr>
        <w:t xml:space="preserve">-</w:t>
      </w:r>
      <w:r>
        <w:rPr>
          <w:sz w:val="28"/>
          <w:szCs w:val="28"/>
        </w:rPr>
        <w:t xml:space="preserve"> 2024 гг.</w:t>
      </w:r>
      <w:r>
        <w:rPr>
          <w:sz w:val="28"/>
          <w:szCs w:val="28"/>
        </w:rPr>
      </w:r>
      <w:r>
        <w:rPr>
          <w:sz w:val="28"/>
          <w:szCs w:val="28"/>
        </w:rPr>
      </w:r>
    </w:p>
    <w:p>
      <w:pPr>
        <w:pStyle w:val="1659"/>
        <w:jc w:val="center"/>
        <w:spacing w:after="0"/>
        <w:widowControl w:val="off"/>
        <w:rPr>
          <w:sz w:val="28"/>
          <w:szCs w:val="28"/>
        </w:rPr>
      </w:pPr>
      <w:r>
        <w:rPr>
          <w:sz w:val="28"/>
          <w:szCs w:val="28"/>
        </w:rPr>
        <w:t xml:space="preserve">(в % от общего числа </w:t>
      </w:r>
      <w:r>
        <w:rPr>
          <w:sz w:val="28"/>
          <w:szCs w:val="28"/>
        </w:rPr>
        <w:t xml:space="preserve">зарегистрированных</w:t>
      </w:r>
      <w:r>
        <w:rPr>
          <w:sz w:val="28"/>
          <w:szCs w:val="28"/>
        </w:rPr>
        <w:t xml:space="preserve"> наркозависимых; абс.)</w:t>
      </w:r>
      <w:r>
        <w:rPr>
          <w:sz w:val="28"/>
          <w:szCs w:val="28"/>
        </w:rPr>
      </w:r>
      <w:r>
        <w:rPr>
          <w:sz w:val="28"/>
          <w:szCs w:val="28"/>
        </w:rPr>
      </w:r>
    </w:p>
    <w:p>
      <w:pPr>
        <w:pStyle w:val="1661"/>
        <w:ind w:firstLine="0"/>
        <w:jc w:val="center"/>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Соотношение лиц, зарегистрированных с «синдромом зависимости от наркотиков», по полу составило в 2024 году М</w:t>
      </w:r>
      <w:r>
        <w:rPr>
          <w:sz w:val="28"/>
          <w:szCs w:val="28"/>
          <w:lang w:val="ru-RU"/>
        </w:rPr>
        <w:t xml:space="preserve"> :</w:t>
      </w:r>
      <w:r>
        <w:rPr>
          <w:sz w:val="28"/>
          <w:szCs w:val="28"/>
          <w:lang w:val="ru-RU"/>
        </w:rPr>
        <w:t xml:space="preserve"> Ж = 4,9 : 1, в процентном соотношении 83,0 % - мужчин и 17,0 % - женщин, аналогично 2023 году. Данная динамика показывает сохранение доли женщин, зарегистрированных с наркоманией</w:t>
      </w:r>
      <w:r>
        <w:rPr>
          <w:sz w:val="28"/>
          <w:szCs w:val="28"/>
          <w:lang w:val="ru-RU"/>
        </w:rPr>
        <w:t xml:space="preserve">,</w:t>
      </w:r>
      <w:r>
        <w:rPr>
          <w:sz w:val="28"/>
          <w:szCs w:val="28"/>
          <w:lang w:val="ru-RU"/>
        </w:rPr>
        <w:t xml:space="preserve"> на фоне общего снижения числа зарег</w:t>
      </w:r>
      <w:r>
        <w:rPr>
          <w:sz w:val="28"/>
          <w:szCs w:val="28"/>
          <w:lang w:val="ru-RU"/>
        </w:rPr>
        <w:t xml:space="preserve">истрированных лиц с наркоманией</w:t>
      </w:r>
      <w:r>
        <w:rPr>
          <w:sz w:val="28"/>
          <w:szCs w:val="28"/>
          <w:lang w:val="ru-RU"/>
        </w:rPr>
        <w:t xml:space="preserve"> (</w:t>
      </w:r>
      <w:r>
        <w:rPr>
          <w:sz w:val="28"/>
          <w:szCs w:val="28"/>
          <w:lang w:val="ru-RU"/>
        </w:rPr>
        <w:t xml:space="preserve">м. р</w:t>
      </w:r>
      <w:r>
        <w:rPr>
          <w:sz w:val="28"/>
          <w:szCs w:val="28"/>
          <w:lang w:val="ru-RU"/>
        </w:rPr>
        <w:t xml:space="preserve">ис. 4)</w:t>
      </w:r>
      <w:r>
        <w:rPr>
          <w:sz w:val="28"/>
          <w:szCs w:val="28"/>
          <w:lang w:val="ru-RU"/>
        </w:rPr>
        <w:t xml:space="preserve">.</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895975" cy="2990274"/>
                <wp:effectExtent l="0" t="0" r="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3"/>
                        <a:stretch/>
                      </pic:blipFill>
                      <pic:spPr bwMode="auto">
                        <a:xfrm>
                          <a:off x="0" y="0"/>
                          <a:ext cx="5913673" cy="2999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4.25pt;height:235.45pt;mso-wrap-distance-left:0.00pt;mso-wrap-distance-top:0.00pt;mso-wrap-distance-right:0.00pt;mso-wrap-distance-bottom:0.00pt;" stroked="f">
                <v:path textboxrect="0,0,0,0"/>
                <v:imagedata r:id="rId23" o:title=""/>
              </v:shape>
            </w:pict>
          </mc:Fallback>
        </mc:AlternateContent>
      </w:r>
      <w:r>
        <w:rPr>
          <w:sz w:val="28"/>
          <w:szCs w:val="28"/>
        </w:rPr>
      </w:r>
      <w:r>
        <w:rPr>
          <w:sz w:val="28"/>
          <w:szCs w:val="28"/>
        </w:rPr>
      </w:r>
    </w:p>
    <w:p>
      <w:pPr>
        <w:pStyle w:val="1659"/>
        <w:jc w:val="center"/>
        <w:spacing w:after="0"/>
        <w:widowControl w:val="off"/>
        <w:rPr>
          <w:sz w:val="28"/>
          <w:szCs w:val="28"/>
        </w:rPr>
      </w:pPr>
      <w:r>
        <w:rPr>
          <w:sz w:val="28"/>
          <w:szCs w:val="28"/>
        </w:rPr>
        <w:t xml:space="preserve">Рис. 4. Соотношение </w:t>
      </w:r>
      <w:r>
        <w:rPr>
          <w:sz w:val="28"/>
          <w:szCs w:val="28"/>
        </w:rPr>
        <w:t xml:space="preserve">зарегистрированных</w:t>
      </w:r>
      <w:r>
        <w:rPr>
          <w:sz w:val="28"/>
          <w:szCs w:val="28"/>
        </w:rPr>
        <w:t xml:space="preserve"> наркозависимых по полу </w:t>
      </w:r>
      <w:r>
        <w:rPr>
          <w:sz w:val="28"/>
          <w:szCs w:val="28"/>
        </w:rPr>
      </w:r>
      <w:r>
        <w:rPr>
          <w:sz w:val="28"/>
          <w:szCs w:val="28"/>
        </w:rPr>
      </w:r>
    </w:p>
    <w:p>
      <w:pPr>
        <w:pStyle w:val="1659"/>
        <w:jc w:val="center"/>
        <w:spacing w:after="0"/>
        <w:widowControl w:val="off"/>
        <w:rPr>
          <w:sz w:val="28"/>
          <w:szCs w:val="28"/>
        </w:rPr>
      </w:pPr>
      <w:r>
        <w:rPr>
          <w:sz w:val="28"/>
          <w:szCs w:val="28"/>
        </w:rPr>
        <w:t xml:space="preserve">в 2023 </w:t>
      </w:r>
      <w:r>
        <w:rPr>
          <w:sz w:val="28"/>
          <w:szCs w:val="28"/>
        </w:rPr>
        <w:t xml:space="preserve">-</w:t>
      </w:r>
      <w:r>
        <w:rPr>
          <w:sz w:val="28"/>
          <w:szCs w:val="28"/>
        </w:rPr>
        <w:t xml:space="preserve"> 2024 г</w:t>
      </w:r>
      <w:r>
        <w:rPr>
          <w:sz w:val="28"/>
          <w:szCs w:val="28"/>
        </w:rPr>
        <w:t xml:space="preserve">г.</w:t>
      </w:r>
      <w:r>
        <w:rPr>
          <w:sz w:val="28"/>
          <w:szCs w:val="28"/>
        </w:rPr>
        <w:t xml:space="preserve"> (в % от общего числа </w:t>
      </w:r>
      <w:r>
        <w:rPr>
          <w:sz w:val="28"/>
          <w:szCs w:val="28"/>
        </w:rPr>
        <w:t xml:space="preserve">зарегистрированных</w:t>
      </w:r>
      <w:r>
        <w:rPr>
          <w:sz w:val="28"/>
          <w:szCs w:val="28"/>
        </w:rPr>
        <w:t xml:space="preserve"> </w:t>
      </w:r>
      <w:r>
        <w:rPr>
          <w:sz w:val="28"/>
          <w:szCs w:val="28"/>
        </w:rPr>
        <w:br/>
      </w:r>
      <w:r>
        <w:rPr>
          <w:sz w:val="28"/>
          <w:szCs w:val="28"/>
        </w:rPr>
        <w:t xml:space="preserve">наркозависимых; абс.)</w:t>
      </w:r>
      <w:r>
        <w:rPr>
          <w:sz w:val="28"/>
          <w:szCs w:val="28"/>
        </w:rPr>
      </w:r>
      <w:r>
        <w:rPr>
          <w:sz w:val="28"/>
          <w:szCs w:val="28"/>
        </w:rPr>
      </w:r>
    </w:p>
    <w:p>
      <w:pPr>
        <w:pStyle w:val="1661"/>
        <w:ind w:firstLine="0"/>
        <w:jc w:val="center"/>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болезненности за </w:t>
      </w:r>
      <w:r>
        <w:rPr>
          <w:sz w:val="28"/>
          <w:szCs w:val="28"/>
          <w:lang w:val="ru-RU"/>
        </w:rPr>
        <w:t xml:space="preserve">2024 и </w:t>
      </w:r>
      <w:r>
        <w:rPr>
          <w:sz w:val="28"/>
          <w:szCs w:val="28"/>
        </w:rPr>
        <w:t xml:space="preserve">20</w:t>
      </w:r>
      <w:r>
        <w:rPr>
          <w:sz w:val="28"/>
          <w:szCs w:val="28"/>
          <w:lang w:val="ru-RU"/>
        </w:rPr>
        <w:t xml:space="preserve">23</w:t>
      </w:r>
      <w:r>
        <w:rPr>
          <w:sz w:val="28"/>
          <w:szCs w:val="28"/>
        </w:rPr>
        <w:t xml:space="preserve"> год</w:t>
      </w:r>
      <w:r>
        <w:rPr>
          <w:sz w:val="28"/>
          <w:szCs w:val="28"/>
          <w:lang w:val="ru-RU"/>
        </w:rPr>
        <w:t xml:space="preserve">ы </w:t>
      </w:r>
      <w:r>
        <w:rPr>
          <w:sz w:val="28"/>
          <w:szCs w:val="28"/>
        </w:rPr>
        <w:t xml:space="preserve">несовершеннолетних с наркоманией</w:t>
      </w:r>
      <w:r>
        <w:rPr>
          <w:sz w:val="28"/>
          <w:szCs w:val="28"/>
          <w:lang w:val="ru-RU"/>
        </w:rPr>
        <w:t xml:space="preserve"> не зарегистрировано.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Превалирующая возрастная группа среди зарегистрированных наркозависимых лиц – в возрасте 20-39 л</w:t>
      </w:r>
      <w:r>
        <w:rPr>
          <w:sz w:val="28"/>
          <w:szCs w:val="28"/>
          <w:lang w:val="ru-RU"/>
        </w:rPr>
        <w:t xml:space="preserve">ет 67,6 % (в 2023 году – 69,2 %, см. р</w:t>
      </w:r>
      <w:r>
        <w:rPr>
          <w:sz w:val="28"/>
          <w:szCs w:val="28"/>
          <w:lang w:val="ru-RU"/>
        </w:rPr>
        <w:t xml:space="preserve">ис. 5), однако наблюдается тренд на «старение» зарегистрированных потребителей наркотиков с синдром зависимости.</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03212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4"/>
                        <a:stretch/>
                      </pic:blipFill>
                      <pic:spPr bwMode="auto">
                        <a:xfrm>
                          <a:off x="0" y="0"/>
                          <a:ext cx="5932170" cy="3032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10pt;height:238.75pt;mso-wrap-distance-left:0.00pt;mso-wrap-distance-top:0.00pt;mso-wrap-distance-right:0.00pt;mso-wrap-distance-bottom:0.00pt;" stroked="f">
                <v:path textboxrect="0,0,0,0"/>
                <v:imagedata r:id="rId24" o:title=""/>
              </v:shape>
            </w:pict>
          </mc:Fallback>
        </mc:AlternateContent>
      </w:r>
      <w:r>
        <w:rPr>
          <w:sz w:val="28"/>
          <w:szCs w:val="28"/>
        </w:rPr>
      </w:r>
      <w:r>
        <w:rPr>
          <w:sz w:val="28"/>
          <w:szCs w:val="28"/>
        </w:rPr>
      </w:r>
    </w:p>
    <w:p>
      <w:pPr>
        <w:pStyle w:val="1659"/>
        <w:jc w:val="center"/>
        <w:spacing w:after="0"/>
        <w:widowControl w:val="off"/>
        <w:rPr>
          <w:sz w:val="28"/>
          <w:szCs w:val="28"/>
        </w:rPr>
      </w:pPr>
      <w:r>
        <w:rPr>
          <w:sz w:val="28"/>
          <w:szCs w:val="28"/>
        </w:rPr>
        <w:t xml:space="preserve">Рис. 5. Соотношение </w:t>
      </w:r>
      <w:r>
        <w:rPr>
          <w:sz w:val="28"/>
          <w:szCs w:val="28"/>
        </w:rPr>
        <w:t xml:space="preserve">зарегистрированных</w:t>
      </w:r>
      <w:r>
        <w:rPr>
          <w:sz w:val="28"/>
          <w:szCs w:val="28"/>
        </w:rPr>
        <w:t xml:space="preserve"> наркозависимых по возрасту</w:t>
      </w:r>
      <w:r>
        <w:rPr>
          <w:sz w:val="28"/>
          <w:szCs w:val="28"/>
        </w:rPr>
      </w:r>
      <w:r>
        <w:rPr>
          <w:sz w:val="28"/>
          <w:szCs w:val="28"/>
        </w:rPr>
      </w:r>
    </w:p>
    <w:p>
      <w:pPr>
        <w:pStyle w:val="1659"/>
        <w:jc w:val="center"/>
        <w:spacing w:after="0"/>
        <w:widowControl w:val="off"/>
        <w:rPr>
          <w:sz w:val="28"/>
          <w:szCs w:val="28"/>
        </w:rPr>
      </w:pPr>
      <w:r>
        <w:rPr>
          <w:sz w:val="28"/>
          <w:szCs w:val="28"/>
        </w:rPr>
        <w:t xml:space="preserve">в 2023 </w:t>
      </w:r>
      <w:r>
        <w:rPr>
          <w:sz w:val="28"/>
          <w:szCs w:val="28"/>
        </w:rPr>
        <w:t xml:space="preserve">-</w:t>
      </w:r>
      <w:r>
        <w:rPr>
          <w:sz w:val="28"/>
          <w:szCs w:val="28"/>
        </w:rPr>
        <w:t xml:space="preserve"> 2024 г</w:t>
      </w:r>
      <w:r>
        <w:rPr>
          <w:sz w:val="28"/>
          <w:szCs w:val="28"/>
        </w:rPr>
        <w:t xml:space="preserve">г.</w:t>
      </w:r>
      <w:r>
        <w:rPr>
          <w:sz w:val="28"/>
          <w:szCs w:val="28"/>
        </w:rPr>
        <w:t xml:space="preserve"> (в % от общего числа </w:t>
      </w:r>
      <w:r>
        <w:rPr>
          <w:sz w:val="28"/>
          <w:szCs w:val="28"/>
        </w:rPr>
        <w:t xml:space="preserve">зарегистрированных</w:t>
      </w:r>
      <w:r>
        <w:rPr>
          <w:sz w:val="28"/>
          <w:szCs w:val="28"/>
        </w:rPr>
        <w:t xml:space="preserve"> наркозависимых </w:t>
      </w:r>
      <w:r>
        <w:rPr>
          <w:sz w:val="28"/>
          <w:szCs w:val="28"/>
        </w:rPr>
        <w:t xml:space="preserve">в соответствующем году)</w:t>
      </w:r>
      <w:r>
        <w:rPr>
          <w:sz w:val="28"/>
          <w:szCs w:val="28"/>
        </w:rPr>
      </w:r>
      <w:r>
        <w:rPr>
          <w:sz w:val="28"/>
          <w:szCs w:val="28"/>
        </w:rPr>
      </w:r>
    </w:p>
    <w:p>
      <w:pPr>
        <w:ind w:firstLine="709"/>
        <w:spacing w:line="276" w:lineRule="auto"/>
        <w:rPr>
          <w:b/>
          <w:i/>
        </w:rPr>
        <w:outlineLvl w:val="1"/>
      </w:pPr>
      <w:r>
        <w:rPr>
          <w:b/>
          <w:i/>
        </w:rPr>
      </w:r>
      <w:r>
        <w:rPr>
          <w:b/>
          <w:i/>
        </w:rPr>
      </w:r>
      <w:r>
        <w:rPr>
          <w:b/>
          <w:i/>
        </w:rPr>
      </w:r>
    </w:p>
    <w:p>
      <w:pPr>
        <w:ind w:firstLine="709"/>
        <w:spacing w:line="276" w:lineRule="auto"/>
        <w:rPr>
          <w:b/>
          <w:i/>
        </w:rPr>
        <w:outlineLvl w:val="1"/>
      </w:pPr>
      <w:r>
        <w:rPr>
          <w:b/>
          <w:i/>
        </w:rPr>
        <w:t xml:space="preserve">Анализ динамики первичной заболеваемости наркоманией</w:t>
      </w:r>
      <w:r>
        <w:rPr>
          <w:b/>
          <w:i/>
        </w:rPr>
      </w:r>
      <w:r>
        <w:rPr>
          <w:b/>
          <w:i/>
        </w:rPr>
      </w:r>
    </w:p>
    <w:p>
      <w:pPr>
        <w:pStyle w:val="1661"/>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наркоманией (т.е. количества</w:t>
      </w:r>
      <w:r>
        <w:rPr>
          <w:sz w:val="28"/>
          <w:szCs w:val="28"/>
        </w:rPr>
        <w:t xml:space="preserve">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текущем году)</w:t>
      </w:r>
      <w:r>
        <w:rPr>
          <w:sz w:val="28"/>
          <w:szCs w:val="28"/>
          <w:lang w:val="ru-RU"/>
        </w:rPr>
        <w:t xml:space="preserve"> </w:t>
      </w:r>
      <w:r>
        <w:rPr>
          <w:sz w:val="28"/>
          <w:szCs w:val="28"/>
        </w:rPr>
        <w:t xml:space="preserve">в автономном округе </w:t>
      </w:r>
      <w:r>
        <w:rPr>
          <w:sz w:val="28"/>
          <w:szCs w:val="28"/>
          <w:lang w:val="ru-RU"/>
        </w:rPr>
        <w:t xml:space="preserve">в 2015 году составлял 20,9 случаев на 100 </w:t>
      </w:r>
      <w:r>
        <w:rPr>
          <w:sz w:val="28"/>
          <w:szCs w:val="28"/>
          <w:lang w:val="ru-RU"/>
        </w:rPr>
        <w:t xml:space="preserve">тыс. </w:t>
      </w:r>
      <w:r>
        <w:rPr>
          <w:sz w:val="28"/>
          <w:szCs w:val="28"/>
          <w:lang w:val="ru-RU"/>
        </w:rPr>
        <w:t xml:space="preserve">населения (абс. 338). Ежегодно данный показатель снижался, и в 2022 году достиг минимума - 3,7 на 100 </w:t>
      </w:r>
      <w:r>
        <w:rPr>
          <w:sz w:val="28"/>
          <w:szCs w:val="28"/>
          <w:lang w:val="ru-RU"/>
        </w:rPr>
        <w:t xml:space="preserve">тыс. </w:t>
      </w:r>
      <w:r>
        <w:rPr>
          <w:sz w:val="28"/>
          <w:szCs w:val="28"/>
          <w:lang w:val="ru-RU"/>
        </w:rPr>
        <w:t xml:space="preserve">населения (абс. 64). С 2023 года зарегистрированный уровень </w:t>
      </w:r>
      <w:r>
        <w:rPr>
          <w:sz w:val="28"/>
          <w:szCs w:val="28"/>
        </w:rPr>
        <w:t xml:space="preserve">первичной заболеваемост</w:t>
      </w:r>
      <w:r>
        <w:rPr>
          <w:sz w:val="28"/>
          <w:szCs w:val="28"/>
          <w:lang w:val="ru-RU"/>
        </w:rPr>
        <w:t xml:space="preserve">и</w:t>
      </w:r>
      <w:r>
        <w:rPr>
          <w:sz w:val="28"/>
          <w:szCs w:val="28"/>
        </w:rPr>
        <w:t xml:space="preserve"> </w:t>
      </w:r>
      <w:r>
        <w:rPr>
          <w:sz w:val="28"/>
          <w:szCs w:val="28"/>
          <w:lang w:val="ru-RU"/>
        </w:rPr>
        <w:t xml:space="preserve">наркоманией</w:t>
      </w:r>
      <w:r>
        <w:rPr>
          <w:sz w:val="28"/>
          <w:szCs w:val="28"/>
        </w:rPr>
        <w:t xml:space="preserve"> </w:t>
      </w:r>
      <w:r>
        <w:rPr>
          <w:sz w:val="28"/>
          <w:szCs w:val="28"/>
          <w:lang w:val="ru-RU"/>
        </w:rPr>
        <w:t xml:space="preserve">(4,5 на 100 </w:t>
      </w:r>
      <w:r>
        <w:rPr>
          <w:sz w:val="28"/>
          <w:szCs w:val="28"/>
          <w:lang w:val="ru-RU"/>
        </w:rPr>
        <w:t xml:space="preserve">тыс. </w:t>
      </w:r>
      <w:r>
        <w:rPr>
          <w:sz w:val="28"/>
          <w:szCs w:val="28"/>
          <w:lang w:val="ru-RU"/>
        </w:rPr>
        <w:t xml:space="preserve">населения, абс. 78) сменил тренд на прирост и в 2024 году составил 5,2 на 100 </w:t>
      </w:r>
      <w:r>
        <w:rPr>
          <w:sz w:val="28"/>
          <w:szCs w:val="28"/>
          <w:lang w:val="ru-RU"/>
        </w:rPr>
        <w:t xml:space="preserve">тыс. </w:t>
      </w:r>
      <w:r>
        <w:rPr>
          <w:sz w:val="28"/>
          <w:szCs w:val="28"/>
          <w:lang w:val="ru-RU"/>
        </w:rPr>
        <w:t xml:space="preserve">населения (абс. 91, см. </w:t>
      </w:r>
      <w:r>
        <w:rPr>
          <w:sz w:val="28"/>
          <w:szCs w:val="28"/>
        </w:rPr>
        <w:t xml:space="preserve">рис. </w:t>
      </w:r>
      <w:r>
        <w:rPr>
          <w:sz w:val="28"/>
          <w:szCs w:val="28"/>
          <w:lang w:val="ru-RU"/>
        </w:rPr>
        <w:t xml:space="preserve">6</w:t>
      </w:r>
      <w:r>
        <w:rPr>
          <w:sz w:val="28"/>
          <w:szCs w:val="28"/>
        </w:rPr>
        <w:t xml:space="preserve">)</w:t>
      </w:r>
      <w:r>
        <w:rPr>
          <w:sz w:val="28"/>
          <w:szCs w:val="28"/>
          <w:lang w:val="ru-RU"/>
        </w:rPr>
        <w:t xml:space="preserve">.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Ханты-Мансийском автономном округе – Югре </w:t>
      </w:r>
      <w:r>
        <w:rPr>
          <w:sz w:val="28"/>
          <w:szCs w:val="28"/>
          <w:lang w:val="ru-RU"/>
        </w:rPr>
        <w:t xml:space="preserve">в 2,7 раза </w:t>
      </w:r>
      <w:r>
        <w:rPr>
          <w:sz w:val="28"/>
          <w:szCs w:val="28"/>
        </w:rPr>
        <w:t xml:space="preserve">ниже, чем в Уральском Федеральном округе (в 20</w:t>
      </w:r>
      <w:r>
        <w:rPr>
          <w:sz w:val="28"/>
          <w:szCs w:val="28"/>
          <w:lang w:val="ru-RU"/>
        </w:rPr>
        <w:t xml:space="preserve">22</w:t>
      </w:r>
      <w:r>
        <w:rPr>
          <w:sz w:val="28"/>
          <w:szCs w:val="28"/>
        </w:rPr>
        <w:t xml:space="preserve"> г</w:t>
      </w:r>
      <w:r>
        <w:rPr>
          <w:sz w:val="28"/>
          <w:szCs w:val="28"/>
          <w:lang w:val="ru-RU"/>
        </w:rPr>
        <w:t xml:space="preserve">.</w:t>
      </w:r>
      <w:r>
        <w:rPr>
          <w:sz w:val="28"/>
          <w:szCs w:val="28"/>
        </w:rPr>
        <w:t xml:space="preserve"> – </w:t>
      </w:r>
      <w:r>
        <w:rPr>
          <w:sz w:val="28"/>
          <w:szCs w:val="28"/>
          <w:lang w:val="ru-RU"/>
        </w:rPr>
        <w:t xml:space="preserve">13,9</w:t>
      </w:r>
      <w:r>
        <w:rPr>
          <w:sz w:val="28"/>
          <w:szCs w:val="28"/>
        </w:rPr>
        <w:t xml:space="preserve"> на 100 </w:t>
      </w:r>
      <w:r>
        <w:rPr>
          <w:sz w:val="28"/>
          <w:szCs w:val="28"/>
        </w:rPr>
        <w:t xml:space="preserve">тыс. </w:t>
      </w:r>
      <w:r>
        <w:rPr>
          <w:sz w:val="28"/>
          <w:szCs w:val="28"/>
        </w:rPr>
        <w:t xml:space="preserve">населения) и </w:t>
      </w:r>
      <w:r>
        <w:rPr>
          <w:sz w:val="28"/>
          <w:szCs w:val="28"/>
          <w:lang w:val="ru-RU"/>
        </w:rPr>
        <w:t xml:space="preserve">в 1,8 раза ниже </w:t>
      </w:r>
      <w:r>
        <w:rPr>
          <w:sz w:val="28"/>
          <w:szCs w:val="28"/>
        </w:rPr>
        <w:t xml:space="preserve">среднего уровня по Российской Федерации (в 20</w:t>
      </w:r>
      <w:r>
        <w:rPr>
          <w:sz w:val="28"/>
          <w:szCs w:val="28"/>
          <w:lang w:val="ru-RU"/>
        </w:rPr>
        <w:t xml:space="preserve">22</w:t>
      </w:r>
      <w:r>
        <w:rPr>
          <w:sz w:val="28"/>
          <w:szCs w:val="28"/>
        </w:rPr>
        <w:t xml:space="preserve"> г</w:t>
      </w:r>
      <w:r>
        <w:rPr>
          <w:sz w:val="28"/>
          <w:szCs w:val="28"/>
          <w:lang w:val="ru-RU"/>
        </w:rPr>
        <w:t xml:space="preserve">.</w:t>
      </w:r>
      <w:r>
        <w:rPr>
          <w:sz w:val="28"/>
          <w:szCs w:val="28"/>
        </w:rPr>
        <w:t xml:space="preserve"> </w:t>
      </w:r>
      <w:r>
        <w:rPr>
          <w:sz w:val="28"/>
          <w:szCs w:val="28"/>
          <w:lang w:val="ru-RU"/>
        </w:rPr>
        <w:t xml:space="preserve">– 9,6 </w:t>
      </w:r>
      <w:r>
        <w:rPr>
          <w:sz w:val="28"/>
          <w:szCs w:val="28"/>
        </w:rPr>
        <w:t xml:space="preserve">на 100 </w:t>
      </w:r>
      <w:r>
        <w:rPr>
          <w:sz w:val="28"/>
          <w:szCs w:val="28"/>
        </w:rPr>
        <w:t xml:space="preserve">тыс. </w:t>
      </w:r>
      <w:r>
        <w:rPr>
          <w:sz w:val="28"/>
          <w:szCs w:val="28"/>
        </w:rPr>
        <w:t xml:space="preserve">населения). </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2926080"/>
                <wp:effectExtent l="0" t="0" r="0" b="762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5"/>
                        <a:stretch/>
                      </pic:blipFill>
                      <pic:spPr bwMode="auto">
                        <a:xfrm>
                          <a:off x="0" y="0"/>
                          <a:ext cx="5943600" cy="29260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00pt;height:230.40pt;mso-wrap-distance-left:0.00pt;mso-wrap-distance-top:0.00pt;mso-wrap-distance-right:0.00pt;mso-wrap-distance-bottom:0.00pt;" stroked="f">
                <v:path textboxrect="0,0,0,0"/>
                <v:imagedata r:id="rId25"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6</w:t>
      </w:r>
      <w:r>
        <w:rPr>
          <w:sz w:val="28"/>
          <w:szCs w:val="28"/>
        </w:rPr>
        <w:t xml:space="preserve">. Динамика первичной заболеваемости наркоманией</w:t>
      </w:r>
      <w:r>
        <w:rPr>
          <w:sz w:val="28"/>
          <w:szCs w:val="28"/>
          <w:lang w:val="ru-RU"/>
        </w:rPr>
        <w:t xml:space="preserve"> в 2020</w:t>
      </w:r>
      <w:r>
        <w:rPr>
          <w:sz w:val="28"/>
          <w:szCs w:val="28"/>
          <w:lang w:val="ru-RU"/>
        </w:rPr>
        <w:t xml:space="preserve"> </w:t>
      </w:r>
      <w:r>
        <w:rPr>
          <w:sz w:val="28"/>
          <w:szCs w:val="28"/>
          <w:lang w:val="ru-RU"/>
        </w:rPr>
        <w:t xml:space="preserve">-</w:t>
      </w:r>
      <w:r>
        <w:rPr>
          <w:sz w:val="28"/>
          <w:szCs w:val="28"/>
          <w:lang w:val="ru-RU"/>
        </w:rPr>
        <w:t xml:space="preserve"> </w:t>
      </w:r>
      <w:r>
        <w:rPr>
          <w:sz w:val="28"/>
          <w:szCs w:val="28"/>
          <w:lang w:val="ru-RU"/>
        </w:rPr>
        <w:t xml:space="preserve">2024 гг. </w:t>
      </w:r>
      <w:r>
        <w:rPr>
          <w:sz w:val="28"/>
          <w:szCs w:val="28"/>
        </w:rPr>
      </w:r>
      <w:r>
        <w:rPr>
          <w:sz w:val="28"/>
          <w:szCs w:val="28"/>
        </w:rPr>
      </w:r>
    </w:p>
    <w:p>
      <w:pPr>
        <w:pStyle w:val="1661"/>
        <w:ind w:firstLine="0"/>
        <w:jc w:val="center"/>
        <w:spacing w:after="0"/>
        <w:rPr>
          <w:sz w:val="28"/>
          <w:szCs w:val="28"/>
        </w:rPr>
      </w:pPr>
      <w:r>
        <w:rPr>
          <w:sz w:val="28"/>
          <w:szCs w:val="28"/>
        </w:rPr>
        <w:t xml:space="preserve">(на 100 </w:t>
      </w:r>
      <w:r>
        <w:rPr>
          <w:sz w:val="28"/>
          <w:szCs w:val="28"/>
        </w:rPr>
        <w:t xml:space="preserve">тыс. </w:t>
      </w:r>
      <w:r>
        <w:rPr>
          <w:sz w:val="28"/>
          <w:szCs w:val="28"/>
        </w:rPr>
        <w:t xml:space="preserve">населения)</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Югры (</w:t>
      </w:r>
      <w:r>
        <w:t xml:space="preserve">см. р</w:t>
      </w:r>
      <w:r>
        <w:t xml:space="preserve">ис. 7): в городах Сургут – с 6-ти случаев в 2023 году до 25-ти новых случаев в 2024 году; Ханты-Мансийск – с 4-х до 14-ти случаев; Нижневартовск – с 11-ти до 17-ти случаев; Нефтеюганск – с 3-х до 5-ти случаев и Ханты-Мансийском районе - с 0 до 1-го случая.</w:t>
      </w:r>
      <w:r/>
    </w:p>
    <w:p>
      <w:pPr>
        <w:ind w:firstLine="709"/>
        <w:spacing w:line="276" w:lineRule="auto"/>
      </w:pPr>
      <w:r>
        <w:t xml:space="preserve">В г. Няган</w:t>
      </w:r>
      <w:r>
        <w:t xml:space="preserve">ь</w:t>
      </w:r>
      <w:r>
        <w:t xml:space="preserve">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(в 2024 г. – 4,4 на 100 </w:t>
      </w:r>
      <w:r>
        <w:t xml:space="preserve">тыс. </w:t>
      </w:r>
      <w:r>
        <w:t xml:space="preserve">населения, в 2023 г. – 4,5 на 100 </w:t>
      </w:r>
      <w:r>
        <w:t xml:space="preserve">тыс. </w:t>
      </w:r>
      <w:r>
        <w:t xml:space="preserve">населения, абс. 3).</w:t>
      </w:r>
      <w:r/>
    </w:p>
    <w:p>
      <w:pPr>
        <w:ind w:firstLine="709"/>
        <w:spacing w:line="276" w:lineRule="auto"/>
      </w:pPr>
      <w:r>
        <w:t xml:space="preserve">В г</w:t>
      </w:r>
      <w:r>
        <w:t xml:space="preserve">.</w:t>
      </w:r>
      <w:r>
        <w:t xml:space="preserve"> </w:t>
      </w:r>
      <w:r>
        <w:t xml:space="preserve">Радужн</w:t>
      </w:r>
      <w:r>
        <w:t xml:space="preserve">ый</w:t>
      </w:r>
      <w:r>
        <w:t xml:space="preserve">, </w:t>
      </w:r>
      <w:r>
        <w:t xml:space="preserve">в </w:t>
      </w:r>
      <w:r>
        <w:t xml:space="preserve">Белоярском, Кондинском,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r/>
    </w:p>
    <w:p>
      <w:pPr>
        <w:pStyle w:val="1661"/>
        <w:ind w:firstLine="709"/>
        <w:jc w:val="both"/>
        <w:spacing w:after="0" w:line="276" w:lineRule="auto"/>
        <w:rPr>
          <w:sz w:val="28"/>
          <w:szCs w:val="28"/>
        </w:rPr>
      </w:pPr>
      <w:r>
        <w:rPr>
          <w:sz w:val="28"/>
          <w:szCs w:val="28"/>
          <w:lang w:val="ru-RU"/>
        </w:rPr>
        <w:t xml:space="preserve">Наиболее значимый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w:t>
      </w:r>
      <w:r>
        <w:rPr>
          <w:sz w:val="28"/>
          <w:szCs w:val="28"/>
          <w:lang w:val="ru-RU"/>
        </w:rPr>
        <w:t xml:space="preserve">фраструктуре автономного округа, </w:t>
      </w:r>
      <w:r>
        <w:rPr>
          <w:sz w:val="28"/>
          <w:szCs w:val="28"/>
          <w:lang w:val="ru-RU"/>
        </w:rPr>
        <w:t xml:space="preserve">и обусловлен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r>
        <w:rPr>
          <w:sz w:val="28"/>
          <w:szCs w:val="28"/>
        </w:rP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 в </w:t>
      </w:r>
      <w:r>
        <w:t xml:space="preserve">Ханты-Мансийск</w:t>
      </w:r>
      <w:r>
        <w:t xml:space="preserve">е</w:t>
      </w:r>
      <w:r>
        <w:t xml:space="preserve"> в 2,4 раза и составляет 12,5 на 100 </w:t>
      </w:r>
      <w:r>
        <w:t xml:space="preserve">тыс. </w:t>
      </w:r>
      <w:r>
        <w:t xml:space="preserve">населения (абс. 14); </w:t>
      </w:r>
      <w:r>
        <w:t xml:space="preserve">в </w:t>
      </w:r>
      <w:r>
        <w:t xml:space="preserve">Сургутском районе в 1,6 раза и составляет 8,5 на 100 </w:t>
      </w:r>
      <w:r>
        <w:t xml:space="preserve">тыс. </w:t>
      </w:r>
      <w:r>
        <w:t xml:space="preserve">населения (абс. 11); а также в </w:t>
      </w:r>
      <w:r>
        <w:t xml:space="preserve">Ура</w:t>
      </w:r>
      <w:r>
        <w:t xml:space="preserve">е</w:t>
      </w:r>
      <w:r>
        <w:t xml:space="preserve"> (на </w:t>
      </w:r>
      <w:r>
        <w:t xml:space="preserve">40,4%), </w:t>
      </w:r>
      <w:r>
        <w:t xml:space="preserve">Мегион</w:t>
      </w:r>
      <w:r>
        <w:t xml:space="preserve">е</w:t>
      </w:r>
      <w:r>
        <w:t xml:space="preserve"> (на 28,8%), </w:t>
      </w:r>
      <w:r>
        <w:t xml:space="preserve">в </w:t>
      </w:r>
      <w:r>
        <w:t xml:space="preserve">Советском районе (на 25,0%), </w:t>
      </w:r>
      <w:r>
        <w:t xml:space="preserve">в городах </w:t>
      </w:r>
      <w:r>
        <w:t xml:space="preserve"> Нижневартовск и Сургут (на 13,5% соответственно) и </w:t>
      </w:r>
      <w:r>
        <w:t xml:space="preserve">в </w:t>
      </w:r>
      <w:r>
        <w:t xml:space="preserve">Ханты-Мансийском районе (</w:t>
      </w:r>
      <w:r>
        <w:t xml:space="preserve">на</w:t>
      </w:r>
      <w:r>
        <w:t xml:space="preserve"> 1,9%).</w:t>
      </w:r>
      <w:r/>
    </w:p>
    <w:p>
      <w:pPr>
        <w:ind w:firstLine="709"/>
        <w:spacing w:line="276" w:lineRule="auto"/>
      </w:pPr>
      <w:r/>
      <w:r/>
    </w:p>
    <w:p>
      <w:pPr>
        <w:ind w:firstLine="0"/>
        <w:jc w:val="center"/>
        <w:spacing w:line="240" w:lineRule="auto"/>
        <w:rPr>
          <w:lang w:val="en-US"/>
        </w:rPr>
      </w:pPr>
      <w:r>
        <mc:AlternateContent>
          <mc:Choice Requires="wpg">
            <w:drawing>
              <wp:inline xmlns:wp="http://schemas.openxmlformats.org/drawingml/2006/wordprocessingDrawing" distT="0" distB="0" distL="0" distR="0">
                <wp:extent cx="6094697" cy="3087094"/>
                <wp:effectExtent l="0" t="0" r="1905"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26"/>
                        <a:stretch/>
                      </pic:blipFill>
                      <pic:spPr bwMode="auto">
                        <a:xfrm>
                          <a:off x="0" y="0"/>
                          <a:ext cx="6092125" cy="30857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9.90pt;height:243.08pt;mso-wrap-distance-left:0.00pt;mso-wrap-distance-top:0.00pt;mso-wrap-distance-right:0.00pt;mso-wrap-distance-bottom:0.00pt;" stroked="f">
                <v:path textboxrect="0,0,0,0"/>
                <v:imagedata r:id="rId26" o:title=""/>
              </v:shape>
            </w:pict>
          </mc:Fallback>
        </mc:AlternateContent>
      </w:r>
      <w:r>
        <w:rPr>
          <w:lang w:val="en-US"/>
        </w:rPr>
      </w:r>
      <w:r>
        <w:rPr>
          <w:lang w:val="en-US"/>
        </w:rPr>
      </w:r>
    </w:p>
    <w:p>
      <w:pPr>
        <w:ind w:firstLine="0"/>
        <w:jc w:val="center"/>
        <w:spacing w:line="240" w:lineRule="auto"/>
      </w:pPr>
      <w:r>
        <w:t xml:space="preserve">Рис. 7. Первичная заболеваемость наркоманией в 2023</w:t>
      </w:r>
      <w:r>
        <w:t xml:space="preserve"> </w:t>
      </w:r>
      <w:r>
        <w:t xml:space="preserve">-</w:t>
      </w:r>
      <w:r>
        <w:t xml:space="preserve"> </w:t>
      </w:r>
      <w:r>
        <w:t xml:space="preserve">2024 гг. </w:t>
      </w:r>
      <w:r/>
    </w:p>
    <w:p>
      <w:pPr>
        <w:ind w:firstLine="0"/>
        <w:jc w:val="center"/>
        <w:spacing w:line="240" w:lineRule="auto"/>
      </w:pPr>
      <w:r>
        <w:t xml:space="preserve">(на 100 </w:t>
      </w:r>
      <w:r>
        <w:t xml:space="preserve">тыс. </w:t>
      </w:r>
      <w:r>
        <w:t xml:space="preserve">населения)</w:t>
      </w:r>
      <w:r/>
    </w:p>
    <w:p>
      <w:pPr>
        <w:pStyle w:val="1661"/>
        <w:ind w:firstLine="709"/>
        <w:jc w:val="both"/>
        <w:spacing w:after="0" w:line="276" w:lineRule="auto"/>
        <w:rPr>
          <w:sz w:val="28"/>
          <w:szCs w:val="28"/>
        </w:rPr>
      </w:pPr>
      <w:r>
        <w:rPr>
          <w:sz w:val="28"/>
          <w:szCs w:val="28"/>
        </w:rPr>
      </w:r>
      <w:r>
        <w:rPr>
          <w:sz w:val="28"/>
          <w:szCs w:val="28"/>
        </w:rPr>
      </w:r>
      <w:r>
        <w:rPr>
          <w:sz w:val="28"/>
          <w:szCs w:val="28"/>
        </w:rPr>
      </w:r>
    </w:p>
    <w:p>
      <w:pPr>
        <w:ind w:firstLine="709"/>
        <w:spacing w:line="276" w:lineRule="auto"/>
      </w:pPr>
      <w:r>
        <w:t xml:space="preserve">Стоит отметить, что в 2024 году доля взятых под диспансерное наблюдение впервые в жизни по ХМАО</w:t>
      </w:r>
      <w:r>
        <w:t xml:space="preserve">-</w:t>
      </w:r>
      <w:r>
        <w:t xml:space="preserve">Югре от общего числа взятых под наблюдение за 2024 год составила 43,5% (в 2023 г. – 43,8%).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r/>
    </w:p>
    <w:p>
      <w:pPr>
        <w:ind w:firstLine="709"/>
        <w:spacing w:line="276" w:lineRule="auto"/>
      </w:pPr>
      <w:r>
        <w:t xml:space="preserve">Количество лиц, зарегистрированных впервые в жизни с диагнозом наркомания</w:t>
      </w:r>
      <w:r>
        <w:t xml:space="preserve">,</w:t>
      </w:r>
      <w:r>
        <w:t xml:space="preserve"> в 2024 году в абсолютных показателях </w:t>
      </w:r>
      <w:r>
        <w:t xml:space="preserve">составляет</w:t>
      </w:r>
      <w:r>
        <w:t xml:space="preserve">: </w:t>
      </w:r>
      <w:r>
        <w:t xml:space="preserve">Сургут – 25 человек; </w:t>
      </w:r>
      <w:r>
        <w:t xml:space="preserve">Нижневартовск - 17 человек; </w:t>
      </w:r>
      <w:r>
        <w:t xml:space="preserve">Ханты-Мансийск - 14 человек; Сургутский район – 11 человек; </w:t>
      </w:r>
      <w:r>
        <w:t xml:space="preserve">Нефтеюганск – 5 человек; </w:t>
      </w:r>
      <w:r>
        <w:t xml:space="preserve">Мегион – 4 человека.</w:t>
      </w:r>
      <w:r>
        <w:t xml:space="preserve">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Как видно из приведенных данных, сохранявшийся на протяжении 8-ми лет тренд на снижение уровня первичной заболеваемости наркоманией среди населения в 2023 году сменил вектор</w:t>
      </w:r>
      <w:r>
        <w:t xml:space="preserve">. Д</w:t>
      </w:r>
      <w:r>
        <w:t xml:space="preserve">оля впервые в жизни взятых под наблюдение из общего числа взятых соответствует уровню 2023 года на фоне увеличения числа последних (в 2024 г. – 209 человек, в 2023 г. – 178 человек, + 17,4%). </w:t>
      </w:r>
      <w:r/>
    </w:p>
    <w:p>
      <w:pPr>
        <w:ind w:firstLine="709"/>
        <w:spacing w:line="276" w:lineRule="auto"/>
      </w:pPr>
      <w:r>
        <w:t xml:space="preserve">Снижение первичной заболеваемости наркоманией зафиксировано в 12-ти из 22 муниципальных образований: </w:t>
      </w:r>
      <w:r/>
    </w:p>
    <w:p>
      <w:pPr>
        <w:ind w:firstLine="709"/>
        <w:spacing w:line="276" w:lineRule="auto"/>
        <w:rPr>
          <w:color w:val="000000"/>
        </w:rPr>
      </w:pPr>
      <w:r>
        <w:rPr>
          <w:color w:val="000000"/>
        </w:rPr>
        <w:t xml:space="preserve">- </w:t>
      </w:r>
      <w:r>
        <w:rPr>
          <w:color w:val="000000"/>
        </w:rPr>
        <w:t xml:space="preserve">г. Лангепас</w:t>
      </w:r>
      <w:r>
        <w:rPr>
          <w:color w:val="000000"/>
        </w:rPr>
        <w:t xml:space="preserve"> </w:t>
      </w:r>
      <w:r>
        <w:t xml:space="preserve">– на 70,9 %</w:t>
      </w:r>
      <w:r>
        <w:t xml:space="preserve">,</w:t>
      </w:r>
      <w:r>
        <w:t xml:space="preserve"> с 7-ми </w:t>
      </w:r>
      <w:r>
        <w:t xml:space="preserve">до 2-х новых случаев,</w:t>
      </w:r>
      <w:r>
        <w:rPr>
          <w:color w:val="000000"/>
        </w:rPr>
        <w:t xml:space="preserve"> при перерасчете на 100 тыс. населения: 2024 г. – 4,4 и 2023 г. – 15,1;</w:t>
      </w:r>
      <w:r>
        <w:rPr>
          <w:color w:val="000000"/>
        </w:rPr>
      </w:r>
      <w:r>
        <w:rPr>
          <w:color w:val="000000"/>
        </w:rPr>
      </w:r>
    </w:p>
    <w:p>
      <w:pPr>
        <w:ind w:firstLine="709"/>
        <w:spacing w:line="276" w:lineRule="auto"/>
        <w:rPr>
          <w:color w:val="000000"/>
        </w:rPr>
      </w:pPr>
      <w:r>
        <w:rPr>
          <w:color w:val="000000"/>
        </w:rPr>
        <w:t xml:space="preserve">- г. Когалым</w:t>
      </w:r>
      <w:r>
        <w:rPr>
          <w:color w:val="000000"/>
        </w:rPr>
        <w:t xml:space="preserve"> </w:t>
      </w:r>
      <w:r>
        <w:t xml:space="preserve">– на 66,0 %</w:t>
      </w:r>
      <w:r>
        <w:t xml:space="preserve">,</w:t>
      </w:r>
      <w:r>
        <w:t xml:space="preserve"> с 3-х </w:t>
      </w:r>
      <w:r>
        <w:t xml:space="preserve">до 1-го нового случая,</w:t>
      </w:r>
      <w:r>
        <w:rPr>
          <w:color w:val="000000"/>
        </w:rPr>
        <w:t xml:space="preserve"> при перерасчете на 100 тыс. населения: 2024 г. – 1,6 и 2023 г. – 4,6;</w:t>
      </w:r>
      <w:r>
        <w:rPr>
          <w:color w:val="000000"/>
        </w:rPr>
      </w:r>
      <w:r>
        <w:rPr>
          <w:color w:val="000000"/>
        </w:rPr>
      </w:r>
    </w:p>
    <w:p>
      <w:pPr>
        <w:ind w:firstLine="709"/>
        <w:spacing w:line="276" w:lineRule="auto"/>
        <w:rPr>
          <w:color w:val="000000"/>
        </w:rPr>
      </w:pPr>
      <w:r>
        <w:rPr>
          <w:color w:val="000000"/>
        </w:rPr>
        <w:t xml:space="preserve">- </w:t>
      </w:r>
      <w:r>
        <w:rPr>
          <w:color w:val="000000"/>
        </w:rPr>
        <w:t xml:space="preserve">г. </w:t>
      </w:r>
      <w:r>
        <w:rPr>
          <w:color w:val="000000"/>
        </w:rPr>
        <w:t xml:space="preserve">Ура</w:t>
      </w:r>
      <w:r>
        <w:rPr>
          <w:color w:val="000000"/>
        </w:rPr>
        <w:t xml:space="preserve">й</w:t>
      </w:r>
      <w:r>
        <w:rPr>
          <w:color w:val="000000"/>
        </w:rPr>
        <w:t xml:space="preserve"> </w:t>
      </w:r>
      <w:r>
        <w:t xml:space="preserve">– на 57,1 % с 7-ми </w:t>
      </w:r>
      <w:r>
        <w:t xml:space="preserve">до 3-х новых случаев,</w:t>
      </w:r>
      <w:r>
        <w:rPr>
          <w:color w:val="000000"/>
        </w:rPr>
        <w:t xml:space="preserve"> при перерасчете на 100 тыс. населения: 2024 г. – 7,3 и 2023 г. – 17,0;</w:t>
      </w:r>
      <w:r>
        <w:rPr>
          <w:color w:val="000000"/>
        </w:rPr>
      </w:r>
      <w:r>
        <w:rPr>
          <w:color w:val="000000"/>
        </w:rPr>
      </w:r>
    </w:p>
    <w:p>
      <w:pPr>
        <w:ind w:firstLine="709"/>
        <w:spacing w:line="276" w:lineRule="auto"/>
        <w:rPr>
          <w:color w:val="000000"/>
        </w:rPr>
      </w:pPr>
      <w:r>
        <w:rPr>
          <w:color w:val="000000"/>
        </w:rPr>
        <w:t xml:space="preserve">- Нижневартовск</w:t>
      </w:r>
      <w:r>
        <w:rPr>
          <w:color w:val="000000"/>
        </w:rPr>
        <w:t xml:space="preserve">ий район</w:t>
      </w:r>
      <w:r>
        <w:rPr>
          <w:color w:val="000000"/>
        </w:rPr>
        <w:t xml:space="preserve"> </w:t>
      </w:r>
      <w:r>
        <w:t xml:space="preserve">– на 33,3 % с 3-х </w:t>
      </w:r>
      <w:r>
        <w:t xml:space="preserve">до 2-х новых случаев,</w:t>
      </w:r>
      <w:r>
        <w:rPr>
          <w:color w:val="000000"/>
        </w:rPr>
        <w:t xml:space="preserve"> при перерасчете на 100 тыс. населения: 2024 г. – 5,2 и 2023 г. – 7,8;</w:t>
      </w:r>
      <w:r>
        <w:rPr>
          <w:color w:val="000000"/>
        </w:rPr>
      </w:r>
      <w:r>
        <w:rPr>
          <w:color w:val="000000"/>
        </w:rPr>
      </w:r>
    </w:p>
    <w:p>
      <w:pPr>
        <w:ind w:firstLine="709"/>
        <w:spacing w:line="276" w:lineRule="auto"/>
        <w:rPr>
          <w:color w:val="000000"/>
        </w:rPr>
      </w:pPr>
      <w:r>
        <w:rPr>
          <w:color w:val="000000"/>
        </w:rPr>
        <w:t xml:space="preserve">- Советск</w:t>
      </w:r>
      <w:r>
        <w:rPr>
          <w:color w:val="000000"/>
        </w:rPr>
        <w:t xml:space="preserve">ий район</w:t>
      </w:r>
      <w:r>
        <w:rPr>
          <w:color w:val="000000"/>
        </w:rPr>
        <w:t xml:space="preserve"> </w:t>
      </w:r>
      <w:r>
        <w:t xml:space="preserve">– на 24,4 % с 4-х </w:t>
      </w:r>
      <w:r>
        <w:t xml:space="preserve">до 3-х новых случаев,</w:t>
      </w:r>
      <w:r>
        <w:rPr>
          <w:color w:val="000000"/>
        </w:rPr>
        <w:t xml:space="preserve"> при перерасчете на 100 тыс. населения: 2024 г. – 6,5 и 2023 г. – 8,6;</w:t>
      </w:r>
      <w:r>
        <w:rPr>
          <w:color w:val="000000"/>
        </w:rPr>
      </w:r>
      <w:r>
        <w:rPr>
          <w:color w:val="000000"/>
        </w:rPr>
      </w:r>
    </w:p>
    <w:p>
      <w:pPr>
        <w:ind w:firstLine="709"/>
        <w:spacing w:line="276" w:lineRule="auto"/>
        <w:rPr>
          <w:color w:val="000000"/>
        </w:rPr>
      </w:pPr>
      <w:r>
        <w:rPr>
          <w:color w:val="000000"/>
        </w:rPr>
        <w:t xml:space="preserve">- Сургутск</w:t>
      </w:r>
      <w:r>
        <w:rPr>
          <w:color w:val="000000"/>
        </w:rPr>
        <w:t xml:space="preserve">ий район</w:t>
      </w:r>
      <w:r>
        <w:rPr>
          <w:color w:val="000000"/>
        </w:rPr>
        <w:t xml:space="preserve"> </w:t>
      </w:r>
      <w:r>
        <w:t xml:space="preserve">– на 22,7 % с 14-ти </w:t>
      </w:r>
      <w:r>
        <w:t xml:space="preserve">до 11-ти новых случаев,</w:t>
      </w:r>
      <w:r>
        <w:rPr>
          <w:color w:val="000000"/>
        </w:rPr>
        <w:t xml:space="preserve"> при перерасчете на 100 тыс. населения: 2024 г. – 8,5 и 2023 г. – 11,0;</w:t>
      </w:r>
      <w:r>
        <w:rPr>
          <w:color w:val="000000"/>
        </w:rPr>
      </w:r>
      <w:r>
        <w:rPr>
          <w:color w:val="000000"/>
        </w:rPr>
      </w:r>
    </w:p>
    <w:p>
      <w:pPr>
        <w:ind w:firstLine="709"/>
        <w:spacing w:line="276" w:lineRule="auto"/>
        <w:rPr>
          <w:color w:val="000000"/>
        </w:rPr>
      </w:pPr>
      <w:r>
        <w:rPr>
          <w:color w:val="000000"/>
        </w:rPr>
        <w:t xml:space="preserve">- </w:t>
      </w:r>
      <w:r>
        <w:rPr>
          <w:color w:val="000000"/>
        </w:rPr>
        <w:t xml:space="preserve">г. Мегион</w:t>
      </w:r>
      <w:r>
        <w:rPr>
          <w:color w:val="000000"/>
        </w:rPr>
        <w:t xml:space="preserve"> </w:t>
      </w:r>
      <w:r>
        <w:t xml:space="preserve">– на 20,2 % с 5-ти</w:t>
      </w:r>
      <w:r>
        <w:t xml:space="preserve"> до 4-х новых случаев,</w:t>
      </w:r>
      <w:r>
        <w:rPr>
          <w:color w:val="000000"/>
        </w:rPr>
        <w:t xml:space="preserve"> при перерасчете на 100 тыс. населения: 2024 г. – 6,7 и 2023 г. – 8,4.</w:t>
      </w:r>
      <w:r>
        <w:rPr>
          <w:color w:val="000000"/>
        </w:rPr>
      </w:r>
      <w:r>
        <w:rPr>
          <w:color w:val="000000"/>
        </w:rPr>
      </w:r>
    </w:p>
    <w:p>
      <w:pPr>
        <w:pStyle w:val="1661"/>
        <w:ind w:firstLine="709"/>
        <w:jc w:val="both"/>
        <w:spacing w:after="0" w:line="276" w:lineRule="auto"/>
        <w:rPr>
          <w:sz w:val="28"/>
          <w:szCs w:val="28"/>
        </w:rPr>
      </w:pPr>
      <w:r>
        <w:rPr>
          <w:sz w:val="28"/>
          <w:szCs w:val="28"/>
          <w:lang w:val="ru-RU"/>
        </w:rPr>
        <w:t xml:space="preserve">В </w:t>
      </w:r>
      <w:r>
        <w:rPr>
          <w:sz w:val="28"/>
          <w:szCs w:val="28"/>
          <w:lang w:val="ru-RU"/>
        </w:rPr>
        <w:t xml:space="preserve">городах</w:t>
      </w:r>
      <w:r>
        <w:rPr>
          <w:sz w:val="28"/>
          <w:szCs w:val="28"/>
          <w:lang w:val="ru-RU"/>
        </w:rPr>
        <w:t xml:space="preserve"> Покачи, Пыть-Ях, Югорск и </w:t>
      </w:r>
      <w:r>
        <w:rPr>
          <w:sz w:val="28"/>
          <w:szCs w:val="28"/>
          <w:lang w:val="ru-RU"/>
        </w:rPr>
        <w:t xml:space="preserve">в </w:t>
      </w:r>
      <w:r>
        <w:rPr>
          <w:sz w:val="28"/>
          <w:szCs w:val="28"/>
          <w:lang w:val="ru-RU"/>
        </w:rPr>
        <w:t xml:space="preserve">Березовском районе в 2024 году первичная заболеваемость наркоманией не зарегистрирована, тогда как в 2023 году она составляла 6,1; 5,0; 7,7 и 8,6 на 100 </w:t>
      </w:r>
      <w:r>
        <w:rPr>
          <w:sz w:val="28"/>
          <w:szCs w:val="28"/>
          <w:lang w:val="ru-RU"/>
        </w:rPr>
        <w:t xml:space="preserve">тыс. </w:t>
      </w:r>
      <w:r>
        <w:rPr>
          <w:sz w:val="28"/>
          <w:szCs w:val="28"/>
          <w:lang w:val="ru-RU"/>
        </w:rPr>
        <w:t xml:space="preserve">населения соответственно (абс. 1; 2; 3; и 2).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Из общего числа впервые заболевших наркоманией (</w:t>
      </w:r>
      <w:r>
        <w:rPr>
          <w:sz w:val="28"/>
          <w:szCs w:val="28"/>
          <w:lang w:val="ru-RU"/>
        </w:rPr>
        <w:t xml:space="preserve">см. р</w:t>
      </w:r>
      <w:r>
        <w:rPr>
          <w:sz w:val="28"/>
          <w:szCs w:val="28"/>
        </w:rPr>
        <w:t xml:space="preserve">ис. </w:t>
      </w:r>
      <w:r>
        <w:rPr>
          <w:sz w:val="28"/>
          <w:szCs w:val="28"/>
          <w:lang w:val="ru-RU"/>
        </w:rPr>
        <w:t xml:space="preserve">8</w:t>
      </w:r>
      <w:r>
        <w:rPr>
          <w:sz w:val="28"/>
          <w:szCs w:val="28"/>
        </w:rPr>
        <w:t xml:space="preserve">) в 20</w:t>
      </w:r>
      <w:r>
        <w:rPr>
          <w:sz w:val="28"/>
          <w:szCs w:val="28"/>
          <w:lang w:val="ru-RU"/>
        </w:rPr>
        <w:t xml:space="preserve">24</w:t>
      </w:r>
      <w:r>
        <w:rPr>
          <w:sz w:val="28"/>
          <w:szCs w:val="28"/>
        </w:rPr>
        <w:t xml:space="preserve"> году у </w:t>
      </w:r>
      <w:r>
        <w:rPr>
          <w:sz w:val="28"/>
          <w:szCs w:val="28"/>
          <w:lang w:val="ru-RU"/>
        </w:rPr>
        <w:t xml:space="preserve">71,4 </w:t>
      </w:r>
      <w:r>
        <w:rPr>
          <w:sz w:val="28"/>
          <w:szCs w:val="28"/>
        </w:rPr>
        <w:t xml:space="preserve">% больных установлен диагноз «</w:t>
      </w:r>
      <w:r>
        <w:rPr>
          <w:sz w:val="28"/>
          <w:szCs w:val="28"/>
          <w:lang w:val="ru-RU"/>
        </w:rPr>
        <w:t xml:space="preserve">полинаркомания» (2023 г. – 79,5%);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18,7 </w:t>
      </w:r>
      <w:r>
        <w:rPr>
          <w:sz w:val="28"/>
          <w:szCs w:val="28"/>
        </w:rPr>
        <w:t xml:space="preserve">%</w:t>
      </w:r>
      <w:r>
        <w:rPr>
          <w:sz w:val="28"/>
          <w:szCs w:val="28"/>
          <w:lang w:val="ru-RU"/>
        </w:rPr>
        <w:t xml:space="preserve"> (2023 г. – 11,5%); «зависимость от каннабиноидов» </w:t>
      </w:r>
      <w:r>
        <w:rPr>
          <w:sz w:val="28"/>
          <w:szCs w:val="28"/>
        </w:rPr>
        <w:t xml:space="preserve">– </w:t>
      </w:r>
      <w:r>
        <w:rPr>
          <w:sz w:val="28"/>
          <w:szCs w:val="28"/>
          <w:lang w:val="ru-RU"/>
        </w:rPr>
        <w:t xml:space="preserve">5,5 </w:t>
      </w:r>
      <w:r>
        <w:rPr>
          <w:sz w:val="28"/>
          <w:szCs w:val="28"/>
        </w:rPr>
        <w:t xml:space="preserve">%</w:t>
      </w:r>
      <w:r>
        <w:rPr>
          <w:sz w:val="28"/>
          <w:szCs w:val="28"/>
          <w:lang w:val="ru-RU"/>
        </w:rPr>
        <w:t xml:space="preserve"> (2023 г. – 6,4%);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4,4 </w:t>
      </w:r>
      <w:r>
        <w:rPr>
          <w:sz w:val="28"/>
          <w:szCs w:val="28"/>
        </w:rPr>
        <w:t xml:space="preserve">% случаев</w:t>
      </w:r>
      <w:r>
        <w:rPr>
          <w:sz w:val="28"/>
          <w:szCs w:val="28"/>
          <w:lang w:val="ru-RU"/>
        </w:rPr>
        <w:t xml:space="preserve"> (2023 г. – 2,6%).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Таким образом, в 2024 го</w:t>
      </w:r>
      <w:r>
        <w:rPr>
          <w:sz w:val="28"/>
          <w:szCs w:val="28"/>
          <w:lang w:val="ru-RU"/>
        </w:rPr>
        <w:t xml:space="preserve">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психостимуляторов и опиоидов.</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2651760"/>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7"/>
                        <a:stretch/>
                      </pic:blipFill>
                      <pic:spPr bwMode="auto">
                        <a:xfrm>
                          <a:off x="0" y="0"/>
                          <a:ext cx="5943600" cy="2651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8.00pt;height:208.80pt;mso-wrap-distance-left:0.00pt;mso-wrap-distance-top:0.00pt;mso-wrap-distance-right:0.00pt;mso-wrap-distance-bottom:0.00pt;" stroked="f">
                <v:path textboxrect="0,0,0,0"/>
                <v:imagedata r:id="rId27"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8</w:t>
      </w:r>
      <w:r>
        <w:rPr>
          <w:sz w:val="28"/>
          <w:szCs w:val="28"/>
        </w:rPr>
        <w:t xml:space="preserve">. Структура наркопотребления по первичной заболеваемости </w:t>
      </w:r>
      <w:r>
        <w:rPr>
          <w:sz w:val="28"/>
          <w:szCs w:val="28"/>
          <w:lang w:val="ru-RU"/>
        </w:rPr>
        <w:br/>
      </w:r>
      <w:r>
        <w:rPr>
          <w:sz w:val="28"/>
          <w:szCs w:val="28"/>
        </w:rPr>
        <w:t xml:space="preserve">в 20</w:t>
      </w:r>
      <w:r>
        <w:rPr>
          <w:sz w:val="28"/>
          <w:szCs w:val="28"/>
          <w:lang w:val="ru-RU"/>
        </w:rPr>
        <w:t xml:space="preserve">23</w:t>
      </w:r>
      <w:r>
        <w:rPr>
          <w:sz w:val="28"/>
          <w:szCs w:val="28"/>
        </w:rPr>
        <w:t xml:space="preserve"> - 20</w:t>
      </w:r>
      <w:r>
        <w:rPr>
          <w:sz w:val="28"/>
          <w:szCs w:val="28"/>
          <w:lang w:val="ru-RU"/>
        </w:rPr>
        <w:t xml:space="preserve">24</w:t>
      </w:r>
      <w:r>
        <w:rPr>
          <w:sz w:val="28"/>
          <w:szCs w:val="28"/>
        </w:rPr>
        <w:t xml:space="preserve"> гг.</w:t>
      </w:r>
      <w:r>
        <w:rPr>
          <w:sz w:val="28"/>
          <w:szCs w:val="28"/>
        </w:rPr>
      </w:r>
      <w:r>
        <w:rPr>
          <w:sz w:val="28"/>
          <w:szCs w:val="28"/>
        </w:rPr>
      </w:r>
    </w:p>
    <w:p>
      <w:pPr>
        <w:pStyle w:val="1661"/>
        <w:ind w:firstLine="0"/>
        <w:jc w:val="center"/>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Соотношение лиц, зарегистрированных впервые в жизни с «синдромом зависимости от наркотиков», по полу составило в 2024 году М</w:t>
      </w:r>
      <w:r>
        <w:rPr>
          <w:sz w:val="28"/>
          <w:szCs w:val="28"/>
          <w:lang w:val="ru-RU"/>
        </w:rPr>
        <w:t xml:space="preserve"> :</w:t>
      </w:r>
      <w:r>
        <w:rPr>
          <w:sz w:val="28"/>
          <w:szCs w:val="28"/>
          <w:lang w:val="ru-RU"/>
        </w:rPr>
        <w:t xml:space="preserve"> Ж = 3,1 : 1, в процентном соотношении 75,8 % - мужчин и 24,2 % - женщин. В 2023 году соотношение М</w:t>
      </w:r>
      <w:r>
        <w:rPr>
          <w:sz w:val="28"/>
          <w:szCs w:val="28"/>
          <w:lang w:val="ru-RU"/>
        </w:rPr>
        <w:t xml:space="preserve"> :</w:t>
      </w:r>
      <w:r>
        <w:rPr>
          <w:sz w:val="28"/>
          <w:szCs w:val="28"/>
          <w:lang w:val="ru-RU"/>
        </w:rPr>
        <w:t xml:space="preserve"> Ж =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r>
        <w:rPr>
          <w:sz w:val="28"/>
          <w:szCs w:val="28"/>
          <w:lang w:val="ru-RU"/>
        </w:rPr>
        <w:t xml:space="preserve">.</w:t>
      </w:r>
      <w:r>
        <w:rPr>
          <w:sz w:val="28"/>
          <w:szCs w:val="28"/>
          <w:lang w:val="ru-RU"/>
        </w:rPr>
        <w:t xml:space="preserve"> (</w:t>
      </w:r>
      <w:r>
        <w:rPr>
          <w:sz w:val="28"/>
          <w:szCs w:val="28"/>
          <w:lang w:val="ru-RU"/>
        </w:rPr>
        <w:t xml:space="preserve">с</w:t>
      </w:r>
      <w:r>
        <w:rPr>
          <w:sz w:val="28"/>
          <w:szCs w:val="28"/>
          <w:lang w:val="ru-RU"/>
        </w:rPr>
        <w:t xml:space="preserve">м. р</w:t>
      </w:r>
      <w:r>
        <w:rPr>
          <w:sz w:val="28"/>
          <w:szCs w:val="28"/>
          <w:lang w:val="ru-RU"/>
        </w:rPr>
        <w:t xml:space="preserve">ис. 9)</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301752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8"/>
                        <a:stretch/>
                      </pic:blipFill>
                      <pic:spPr bwMode="auto">
                        <a:xfrm>
                          <a:off x="0" y="0"/>
                          <a:ext cx="5943600" cy="3017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8.00pt;height:237.60pt;mso-wrap-distance-left:0.00pt;mso-wrap-distance-top:0.00pt;mso-wrap-distance-right:0.00pt;mso-wrap-distance-bottom:0.00pt;" stroked="f">
                <v:path textboxrect="0,0,0,0"/>
                <v:imagedata r:id="rId28" o:title=""/>
              </v:shape>
            </w:pict>
          </mc:Fallback>
        </mc:AlternateContent>
      </w:r>
      <w:r>
        <w:rPr>
          <w:sz w:val="28"/>
          <w:szCs w:val="28"/>
        </w:rPr>
      </w:r>
      <w:r>
        <w:rPr>
          <w:sz w:val="28"/>
          <w:szCs w:val="28"/>
        </w:rPr>
      </w:r>
    </w:p>
    <w:p>
      <w:pPr>
        <w:pStyle w:val="1659"/>
        <w:jc w:val="center"/>
        <w:spacing w:after="0"/>
        <w:widowControl w:val="off"/>
        <w:rPr>
          <w:sz w:val="28"/>
          <w:szCs w:val="28"/>
        </w:rPr>
      </w:pPr>
      <w:r>
        <w:rPr>
          <w:sz w:val="28"/>
          <w:szCs w:val="28"/>
        </w:rPr>
        <w:t xml:space="preserve">Рис. 9. Соотношение </w:t>
      </w:r>
      <w:r>
        <w:rPr>
          <w:sz w:val="28"/>
          <w:szCs w:val="28"/>
        </w:rPr>
        <w:t xml:space="preserve">зарегистрированных</w:t>
      </w:r>
      <w:r>
        <w:rPr>
          <w:sz w:val="28"/>
          <w:szCs w:val="28"/>
        </w:rPr>
        <w:t xml:space="preserve"> впервые в жизни наркозависимых по полу в 2023 </w:t>
      </w:r>
      <w:r>
        <w:rPr>
          <w:sz w:val="28"/>
          <w:szCs w:val="28"/>
        </w:rPr>
        <w:t xml:space="preserve">- 2024 гг.</w:t>
      </w:r>
      <w:r>
        <w:rPr>
          <w:sz w:val="28"/>
          <w:szCs w:val="28"/>
        </w:rPr>
        <w:t xml:space="preserve"> (в % от общего числа наркозависимых зарегистрированных впервые в жизни; абс.)</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первичной заболеваемости </w:t>
      </w:r>
      <w:r>
        <w:rPr>
          <w:sz w:val="28"/>
          <w:szCs w:val="28"/>
          <w:lang w:val="ru-RU"/>
        </w:rPr>
        <w:t xml:space="preserve">наркоманией </w:t>
      </w:r>
      <w:r>
        <w:rPr>
          <w:sz w:val="28"/>
          <w:szCs w:val="28"/>
          <w:lang w:val="ru-RU"/>
        </w:rPr>
        <w:t xml:space="preserve">в</w:t>
      </w:r>
      <w:r>
        <w:rPr>
          <w:sz w:val="28"/>
          <w:szCs w:val="28"/>
        </w:rPr>
        <w:t xml:space="preserve"> 20</w:t>
      </w:r>
      <w:r>
        <w:rPr>
          <w:sz w:val="28"/>
          <w:szCs w:val="28"/>
          <w:lang w:val="ru-RU"/>
        </w:rPr>
        <w:t xml:space="preserve">24</w:t>
      </w:r>
      <w:r>
        <w:rPr>
          <w:sz w:val="28"/>
          <w:szCs w:val="28"/>
        </w:rPr>
        <w:t xml:space="preserve"> год</w:t>
      </w:r>
      <w:r>
        <w:rPr>
          <w:sz w:val="28"/>
          <w:szCs w:val="28"/>
        </w:rPr>
        <w:t xml:space="preserve">у</w:t>
      </w:r>
      <w:r>
        <w:rPr>
          <w:sz w:val="28"/>
          <w:szCs w:val="28"/>
          <w:lang w:val="ru-RU"/>
        </w:rPr>
        <w:t xml:space="preserve">, также как в 2023 году</w:t>
      </w:r>
      <w:r>
        <w:rPr>
          <w:sz w:val="28"/>
          <w:szCs w:val="28"/>
          <w:lang w:val="ru-RU"/>
        </w:rPr>
        <w:t xml:space="preserve">,</w:t>
      </w:r>
      <w:r>
        <w:rPr>
          <w:sz w:val="28"/>
          <w:szCs w:val="28"/>
          <w:lang w:val="ru-RU"/>
        </w:rPr>
        <w:t xml:space="preserve"> </w:t>
      </w:r>
      <w:r>
        <w:rPr>
          <w:sz w:val="28"/>
          <w:szCs w:val="28"/>
        </w:rPr>
        <w:t xml:space="preserve">несовершеннолетни</w:t>
      </w:r>
      <w:r>
        <w:rPr>
          <w:sz w:val="28"/>
          <w:szCs w:val="28"/>
          <w:lang w:val="ru-RU"/>
        </w:rPr>
        <w:t xml:space="preserve">х </w:t>
      </w:r>
      <w:r>
        <w:rPr>
          <w:sz w:val="28"/>
          <w:szCs w:val="28"/>
          <w:lang w:val="ru-RU"/>
        </w:rPr>
        <w:t xml:space="preserve">не </w:t>
      </w:r>
      <w:r>
        <w:rPr>
          <w:sz w:val="28"/>
          <w:szCs w:val="28"/>
          <w:lang w:val="ru-RU"/>
        </w:rPr>
        <w:t xml:space="preserve">зарегистрировано</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Превалирующая возрастная группа среди зарегистрированных впервые в жизни наркозависимых лиц – в возрасте 20-39 лет 71,4 % (в 2023 г</w:t>
      </w:r>
      <w:r>
        <w:rPr>
          <w:sz w:val="28"/>
          <w:szCs w:val="28"/>
          <w:lang w:val="ru-RU"/>
        </w:rPr>
        <w:t xml:space="preserve">.</w:t>
      </w:r>
      <w:r>
        <w:rPr>
          <w:sz w:val="28"/>
          <w:szCs w:val="28"/>
          <w:lang w:val="ru-RU"/>
        </w:rPr>
        <w:t xml:space="preserve"> – 75,6 %), с увеличением доли лиц в возрасте 40-59 лет до 27,5% (в 2023 г</w:t>
      </w:r>
      <w:r>
        <w:rPr>
          <w:sz w:val="28"/>
          <w:szCs w:val="28"/>
          <w:lang w:val="ru-RU"/>
        </w:rPr>
        <w:t xml:space="preserve">.</w:t>
      </w:r>
      <w:r>
        <w:rPr>
          <w:sz w:val="28"/>
          <w:szCs w:val="28"/>
          <w:lang w:val="ru-RU"/>
        </w:rPr>
        <w:t xml:space="preserve"> – 23,1%) (</w:t>
      </w:r>
      <w:r>
        <w:rPr>
          <w:sz w:val="28"/>
          <w:szCs w:val="28"/>
          <w:lang w:val="ru-RU"/>
        </w:rPr>
        <w:t xml:space="preserve">см. р</w:t>
      </w:r>
      <w:r>
        <w:rPr>
          <w:sz w:val="28"/>
          <w:szCs w:val="28"/>
          <w:lang w:val="ru-RU"/>
        </w:rPr>
        <w:t xml:space="preserve">ис. 10).</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03212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9"/>
                        <a:stretch/>
                      </pic:blipFill>
                      <pic:spPr bwMode="auto">
                        <a:xfrm>
                          <a:off x="0" y="0"/>
                          <a:ext cx="5932170" cy="3032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10pt;height:238.75pt;mso-wrap-distance-left:0.00pt;mso-wrap-distance-top:0.00pt;mso-wrap-distance-right:0.00pt;mso-wrap-distance-bottom:0.00pt;" stroked="f">
                <v:path textboxrect="0,0,0,0"/>
                <v:imagedata r:id="rId29" o:title=""/>
              </v:shape>
            </w:pict>
          </mc:Fallback>
        </mc:AlternateContent>
      </w:r>
      <w:r>
        <w:rPr>
          <w:sz w:val="28"/>
          <w:szCs w:val="28"/>
        </w:rPr>
      </w:r>
      <w:r>
        <w:rPr>
          <w:sz w:val="28"/>
          <w:szCs w:val="28"/>
        </w:rPr>
      </w:r>
    </w:p>
    <w:p>
      <w:pPr>
        <w:pStyle w:val="1659"/>
        <w:jc w:val="center"/>
        <w:spacing w:after="0"/>
        <w:widowControl w:val="off"/>
        <w:rPr>
          <w:sz w:val="28"/>
          <w:szCs w:val="28"/>
        </w:rPr>
      </w:pPr>
      <w:r>
        <w:rPr>
          <w:sz w:val="28"/>
          <w:szCs w:val="28"/>
        </w:rPr>
        <w:t xml:space="preserve">Рис. 10. Соотношение </w:t>
      </w:r>
      <w:r>
        <w:rPr>
          <w:sz w:val="28"/>
          <w:szCs w:val="28"/>
        </w:rPr>
        <w:t xml:space="preserve">зарегистрированных</w:t>
      </w:r>
      <w:r>
        <w:rPr>
          <w:sz w:val="28"/>
          <w:szCs w:val="28"/>
        </w:rPr>
        <w:t xml:space="preserve"> впервые в жизни наркозависимых по возрасту в 2023 – 2024 году (в % от общего числа зарегистрированных впервые в жизни наркозависимых в соответствующем году)</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В связи со смертью с диспансерного наблюдения в 2024 году снято 49 больных наркоманией, что выше показателя </w:t>
      </w:r>
      <w:r>
        <w:rPr>
          <w:sz w:val="28"/>
          <w:szCs w:val="28"/>
        </w:rPr>
        <w:t xml:space="preserve">2023</w:t>
      </w:r>
      <w:r>
        <w:rPr>
          <w:sz w:val="28"/>
          <w:szCs w:val="28"/>
        </w:rPr>
        <w:t xml:space="preserve"> года на 3 случая </w:t>
      </w:r>
      <w:r>
        <w:rPr>
          <w:sz w:val="28"/>
          <w:szCs w:val="28"/>
        </w:rPr>
        <w:br/>
        <w:t xml:space="preserve">(</w:t>
      </w:r>
      <w:r>
        <w:rPr>
          <w:sz w:val="28"/>
          <w:szCs w:val="28"/>
        </w:rPr>
        <w:t xml:space="preserve">46</w:t>
      </w:r>
      <w:r>
        <w:rPr>
          <w:sz w:val="28"/>
          <w:szCs w:val="28"/>
        </w:rPr>
        <w:t xml:space="preserve">). </w:t>
      </w:r>
      <w:r>
        <w:rPr>
          <w:sz w:val="28"/>
          <w:szCs w:val="28"/>
        </w:rPr>
        <w:t xml:space="preserve">В структуре причин смерти (</w:t>
      </w:r>
      <w:r>
        <w:rPr>
          <w:sz w:val="28"/>
          <w:szCs w:val="28"/>
        </w:rPr>
        <w:t xml:space="preserve">см. р</w:t>
      </w:r>
      <w:r>
        <w:rPr>
          <w:sz w:val="28"/>
          <w:szCs w:val="28"/>
        </w:rPr>
        <w:t xml:space="preserve">ис. 11) в 2024 году - соматические заболевания – 46 случаев (93,9 %; в 2023 г</w:t>
      </w:r>
      <w:r>
        <w:rPr>
          <w:sz w:val="28"/>
          <w:szCs w:val="28"/>
        </w:rPr>
        <w:t xml:space="preserve">. </w:t>
      </w:r>
      <w:r>
        <w:rPr>
          <w:sz w:val="28"/>
          <w:szCs w:val="28"/>
        </w:rPr>
        <w:t xml:space="preserve">- 46 случаев, 100,0 %); самоубийство – 2 случая (4,1 %); другие причины – 1 случай (2,0 %). </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6417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30"/>
                        <a:stretch/>
                      </pic:blipFill>
                      <pic:spPr bwMode="auto">
                        <a:xfrm>
                          <a:off x="0" y="0"/>
                          <a:ext cx="5932170" cy="3641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10pt;height:286.75pt;mso-wrap-distance-left:0.00pt;mso-wrap-distance-top:0.00pt;mso-wrap-distance-right:0.00pt;mso-wrap-distance-bottom:0.00pt;" stroked="f">
                <v:path textboxrect="0,0,0,0"/>
                <v:imagedata r:id="rId30"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11</w:t>
      </w:r>
      <w:r>
        <w:rPr>
          <w:sz w:val="28"/>
          <w:szCs w:val="28"/>
        </w:rPr>
        <w:t xml:space="preserve">. Причины смерти больных наркоманией</w:t>
      </w:r>
      <w:r>
        <w:rPr>
          <w:sz w:val="28"/>
          <w:szCs w:val="28"/>
          <w:lang w:val="ru-RU"/>
        </w:rPr>
        <w:t xml:space="preserve">, </w:t>
      </w:r>
      <w:r>
        <w:rPr>
          <w:sz w:val="28"/>
          <w:szCs w:val="28"/>
          <w:lang w:val="ru-RU"/>
        </w:rPr>
        <w:br/>
        <w:t xml:space="preserve">снятых с наблюдения в 2023</w:t>
      </w:r>
      <w:r>
        <w:rPr>
          <w:sz w:val="28"/>
          <w:szCs w:val="28"/>
          <w:lang w:val="ru-RU"/>
        </w:rPr>
        <w:t xml:space="preserve"> </w:t>
      </w:r>
      <w:r>
        <w:rPr>
          <w:sz w:val="28"/>
          <w:szCs w:val="28"/>
          <w:lang w:val="ru-RU"/>
        </w:rPr>
        <w:t xml:space="preserve">-</w:t>
      </w:r>
      <w:r>
        <w:rPr>
          <w:sz w:val="28"/>
          <w:szCs w:val="28"/>
          <w:lang w:val="ru-RU"/>
        </w:rPr>
        <w:t xml:space="preserve"> </w:t>
      </w:r>
      <w:r>
        <w:rPr>
          <w:sz w:val="28"/>
          <w:szCs w:val="28"/>
          <w:lang w:val="ru-RU"/>
        </w:rPr>
        <w:t xml:space="preserve">2024 гг.</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Доля лиц с наркоманией, снятых с диспансерного наблюдения в связи со смертью, соста</w:t>
      </w:r>
      <w:r>
        <w:rPr>
          <w:sz w:val="28"/>
          <w:szCs w:val="28"/>
          <w:lang w:val="ru-RU"/>
        </w:rPr>
        <w:t xml:space="preserve">вила </w:t>
      </w:r>
      <w:r>
        <w:rPr>
          <w:sz w:val="28"/>
          <w:szCs w:val="28"/>
        </w:rPr>
        <w:t xml:space="preserve">в 202</w:t>
      </w:r>
      <w:r>
        <w:rPr>
          <w:sz w:val="28"/>
          <w:szCs w:val="28"/>
          <w:lang w:val="ru-RU"/>
        </w:rPr>
        <w:t xml:space="preserve">4</w:t>
      </w:r>
      <w:r>
        <w:rPr>
          <w:sz w:val="28"/>
          <w:szCs w:val="28"/>
        </w:rPr>
        <w:t xml:space="preserve"> году </w:t>
      </w:r>
      <w:r>
        <w:rPr>
          <w:sz w:val="28"/>
          <w:szCs w:val="28"/>
          <w:lang w:val="ru-RU"/>
        </w:rPr>
        <w:t xml:space="preserve">3,5</w:t>
      </w:r>
      <w:r>
        <w:rPr>
          <w:sz w:val="28"/>
          <w:szCs w:val="28"/>
        </w:rPr>
        <w:t xml:space="preserve"> на 100 больных среднегодового контингента, что на </w:t>
      </w:r>
      <w:r>
        <w:rPr>
          <w:sz w:val="28"/>
          <w:szCs w:val="28"/>
          <w:lang w:val="ru-RU"/>
        </w:rPr>
        <w:t xml:space="preserve">12,9 %</w:t>
      </w:r>
      <w:r>
        <w:rPr>
          <w:sz w:val="28"/>
          <w:szCs w:val="28"/>
        </w:rPr>
        <w:t xml:space="preserve"> </w:t>
      </w:r>
      <w:r>
        <w:rPr>
          <w:sz w:val="28"/>
          <w:szCs w:val="28"/>
          <w:lang w:val="ru-RU"/>
        </w:rPr>
        <w:t xml:space="preserve">больше</w:t>
      </w:r>
      <w:r>
        <w:rPr>
          <w:sz w:val="28"/>
          <w:szCs w:val="28"/>
        </w:rPr>
        <w:t xml:space="preserve">, чем в </w:t>
      </w:r>
      <w:r>
        <w:rPr>
          <w:sz w:val="28"/>
          <w:szCs w:val="28"/>
        </w:rPr>
        <w:t xml:space="preserve">2023</w:t>
      </w:r>
      <w:r>
        <w:rPr>
          <w:sz w:val="28"/>
          <w:szCs w:val="28"/>
        </w:rPr>
        <w:t xml:space="preserve"> году – </w:t>
      </w:r>
      <w:r>
        <w:rPr>
          <w:sz w:val="28"/>
          <w:szCs w:val="28"/>
          <w:lang w:val="ru-RU"/>
        </w:rPr>
        <w:t xml:space="preserve">3,1</w:t>
      </w:r>
      <w:r>
        <w:rPr>
          <w:sz w:val="28"/>
          <w:szCs w:val="28"/>
        </w:rPr>
        <w:t xml:space="preserve"> на 100 среднегодовых больных.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Последнее десятилетие в </w:t>
      </w:r>
      <w:r>
        <w:rPr>
          <w:sz w:val="28"/>
          <w:szCs w:val="28"/>
        </w:rPr>
        <w:t xml:space="preserve">наркологическ</w:t>
      </w:r>
      <w:r>
        <w:rPr>
          <w:sz w:val="28"/>
          <w:szCs w:val="28"/>
          <w:lang w:val="ru-RU"/>
        </w:rPr>
        <w:t xml:space="preserve">ой</w:t>
      </w:r>
      <w:r>
        <w:rPr>
          <w:sz w:val="28"/>
          <w:szCs w:val="28"/>
        </w:rPr>
        <w:t xml:space="preserve"> ситуаци</w:t>
      </w:r>
      <w:r>
        <w:rPr>
          <w:sz w:val="28"/>
          <w:szCs w:val="28"/>
          <w:lang w:val="ru-RU"/>
        </w:rPr>
        <w:t xml:space="preserve">и</w:t>
      </w:r>
      <w:r>
        <w:rPr>
          <w:sz w:val="28"/>
          <w:szCs w:val="28"/>
        </w:rPr>
        <w:t xml:space="preserve"> в автономном округе</w:t>
      </w:r>
      <w:r>
        <w:rPr>
          <w:sz w:val="28"/>
          <w:szCs w:val="28"/>
          <w:lang w:val="ru-RU"/>
        </w:rPr>
        <w:t xml:space="preserve"> </w:t>
      </w:r>
      <w:r>
        <w:rPr>
          <w:sz w:val="28"/>
          <w:szCs w:val="28"/>
          <w:lang w:val="ru-RU"/>
        </w:rPr>
        <w:t xml:space="preserve">формируется</w:t>
      </w:r>
      <w:r>
        <w:rPr>
          <w:sz w:val="28"/>
          <w:szCs w:val="28"/>
        </w:rPr>
        <w:t xml:space="preserve"> </w:t>
      </w:r>
      <w:r>
        <w:rPr>
          <w:sz w:val="28"/>
          <w:szCs w:val="28"/>
          <w:lang w:val="ru-RU"/>
        </w:rPr>
        <w:t xml:space="preserve">тенденция по </w:t>
      </w:r>
      <w:r>
        <w:rPr>
          <w:sz w:val="28"/>
          <w:szCs w:val="28"/>
        </w:rPr>
        <w:t xml:space="preserve">употреблени</w:t>
      </w:r>
      <w:r>
        <w:rPr>
          <w:sz w:val="28"/>
          <w:szCs w:val="28"/>
          <w:lang w:val="ru-RU"/>
        </w:rPr>
        <w:t xml:space="preserve">ю</w:t>
      </w:r>
      <w:r>
        <w:rPr>
          <w:sz w:val="28"/>
          <w:szCs w:val="28"/>
        </w:rPr>
        <w:t xml:space="preserve"> синтетически</w:t>
      </w:r>
      <w:r>
        <w:rPr>
          <w:sz w:val="28"/>
          <w:szCs w:val="28"/>
          <w:lang w:val="ru-RU"/>
        </w:rPr>
        <w:t xml:space="preserve">х</w:t>
      </w:r>
      <w:r>
        <w:rPr>
          <w:sz w:val="28"/>
          <w:szCs w:val="28"/>
        </w:rPr>
        <w:t xml:space="preserve"> наркотик</w:t>
      </w:r>
      <w:r>
        <w:rPr>
          <w:sz w:val="28"/>
          <w:szCs w:val="28"/>
          <w:lang w:val="ru-RU"/>
        </w:rPr>
        <w:t xml:space="preserve">ов и их сочетаний, а также употребление опиоидных наркотиков</w:t>
      </w:r>
      <w:r>
        <w:rPr>
          <w:sz w:val="28"/>
          <w:szCs w:val="28"/>
        </w:rPr>
        <w:t xml:space="preserve">.</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Анализируя динамику распространенности наркомании в </w:t>
      </w:r>
      <w:r>
        <w:rPr>
          <w:sz w:val="28"/>
          <w:szCs w:val="28"/>
        </w:rPr>
        <w:t xml:space="preserve">Югре</w:t>
      </w:r>
      <w:r>
        <w:rPr>
          <w:sz w:val="28"/>
          <w:szCs w:val="28"/>
        </w:rPr>
        <w:t xml:space="preserve">, прежде всего, необходимо отметить стабильное снижение данного показателя в течение последнего десятилетия. Уровень болезненности наркоманией в автономном округе по сравнению со средним уровнем по Российской Федерации ниже</w:t>
      </w:r>
      <w:r>
        <w:rPr>
          <w:sz w:val="28"/>
          <w:szCs w:val="28"/>
        </w:rPr>
        <w:t xml:space="preserve">. Это</w:t>
      </w:r>
      <w:r>
        <w:rPr>
          <w:sz w:val="28"/>
          <w:szCs w:val="28"/>
        </w:rPr>
        <w:t xml:space="preserve"> обусловлено доступностью государственной наркологической помощи, умеренной выявляемостью наркологических расстрой</w:t>
      </w:r>
      <w:r>
        <w:rPr>
          <w:sz w:val="28"/>
          <w:szCs w:val="28"/>
        </w:rPr>
        <w:t xml:space="preserve">ств</w:t>
      </w:r>
      <w:r>
        <w:rPr>
          <w:sz w:val="28"/>
          <w:szCs w:val="28"/>
        </w:rPr>
        <w:t xml:space="preserve"> </w:t>
      </w:r>
      <w:r>
        <w:rPr>
          <w:sz w:val="28"/>
          <w:szCs w:val="28"/>
        </w:rPr>
        <w:t xml:space="preserve">ср</w:t>
      </w:r>
      <w:r>
        <w:rPr>
          <w:sz w:val="28"/>
          <w:szCs w:val="28"/>
        </w:rPr>
        <w:t xml:space="preserve">еди населения</w:t>
      </w:r>
      <w:r>
        <w:rPr>
          <w:sz w:val="28"/>
          <w:szCs w:val="28"/>
        </w:rPr>
        <w:t xml:space="preserve"> (</w:t>
      </w:r>
      <w:r>
        <w:rPr>
          <w:sz w:val="28"/>
          <w:szCs w:val="28"/>
        </w:rPr>
        <w:t xml:space="preserve">что в свою очередь связано с высоким удельным весом городского населения (более 92,3 %)</w:t>
      </w:r>
      <w:r>
        <w:rPr>
          <w:sz w:val="28"/>
          <w:szCs w:val="28"/>
        </w:rPr>
        <w:t xml:space="preserve">, оснащенностью наркологической службы, большим охватом трудоспособного населения предварительными и периодическими медицинскими осмотрами. </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w:t>
      </w:r>
      <w:r>
        <w:rPr>
          <w:sz w:val="28"/>
          <w:szCs w:val="28"/>
        </w:rPr>
        <w:t xml:space="preserve">межведомственном уровне. </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В силу изменений и поправок к Порядку диспансерного наблюдения, внесенных приказом Минздрава РФ от 30.07.2019 № 573н</w:t>
      </w:r>
      <w:r>
        <w:rPr>
          <w:rStyle w:val="1655"/>
          <w:sz w:val="28"/>
          <w:szCs w:val="28"/>
        </w:rPr>
        <w:footnoteReference w:id="30"/>
      </w:r>
      <w:r>
        <w:rPr>
          <w:sz w:val="28"/>
          <w:szCs w:val="28"/>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Статистический учет больных наркоманий, регламентированный приказом Минздрава РФ от 30.07.2019 № 573н, соответствует приказу Росстата от 22</w:t>
      </w:r>
      <w:r>
        <w:rPr>
          <w:sz w:val="28"/>
          <w:szCs w:val="28"/>
        </w:rPr>
        <w:t xml:space="preserve">.11.</w:t>
      </w:r>
      <w:r>
        <w:rPr>
          <w:sz w:val="28"/>
          <w:szCs w:val="28"/>
        </w:rPr>
        <w:t xml:space="preserve">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Дополнительно в соответствии с действующим федеральным законода</w:t>
      </w:r>
      <w:r>
        <w:rPr>
          <w:sz w:val="28"/>
          <w:szCs w:val="28"/>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Доля лиц с наркоманией, снятых с диспансерного наблюдения в связи с в</w:t>
      </w:r>
      <w:r>
        <w:rPr>
          <w:sz w:val="28"/>
          <w:szCs w:val="28"/>
        </w:rPr>
        <w:t xml:space="preserve">ыздоровлением (длительным воздержанием) составила в 2024 году 5,8 на 100 больных среднегодового контингента, что на 25,6 % меньше, чем в 2023 году – 7,8 на 100 среднегодовых больных. Данный показатель отражает уменьшение числа лиц, снятых с наблюдения в св</w:t>
      </w:r>
      <w:r>
        <w:rPr>
          <w:sz w:val="28"/>
          <w:szCs w:val="28"/>
        </w:rPr>
        <w:t xml:space="preserve">язи с выздоровлением от числа лиц, находившихся под наблюдением в течение года, выраженное на 100 больных среднегодового контингента. Для сравнения данный показатель по РФ в 2022 году составлял 3,1; по УрФО – 5,6 на 100 больных среднегодового контингента. </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Меры, направленные на снижение распространения наркопотребления, лечебно-профилактические мероприятия для людей с наркотической </w:t>
      </w:r>
      <w:r>
        <w:rPr>
          <w:sz w:val="28"/>
          <w:szCs w:val="28"/>
        </w:rPr>
        <w:t xml:space="preserve">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Рост числа впервые выявленных потребителей наркотиков с синдромом зависимости, к</w:t>
      </w:r>
      <w:r>
        <w:rPr>
          <w:sz w:val="28"/>
          <w:szCs w:val="28"/>
        </w:rPr>
        <w:t xml:space="preserve">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w:t>
      </w:r>
      <w:r>
        <w:rPr>
          <w:sz w:val="28"/>
          <w:szCs w:val="28"/>
        </w:rPr>
        <w:t xml:space="preserve">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r>
        <w:rPr>
          <w:sz w:val="28"/>
          <w:szCs w:val="28"/>
        </w:rPr>
      </w:r>
      <w:r>
        <w:rPr>
          <w:sz w:val="28"/>
          <w:szCs w:val="28"/>
        </w:rPr>
      </w:r>
    </w:p>
    <w:p>
      <w:pPr>
        <w:pStyle w:val="1659"/>
        <w:ind w:firstLine="709"/>
        <w:jc w:val="both"/>
        <w:spacing w:after="0" w:line="283"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r>
        <w:rPr>
          <w:sz w:val="28"/>
          <w:szCs w:val="28"/>
        </w:rPr>
      </w:r>
      <w:r>
        <w:rPr>
          <w:sz w:val="28"/>
          <w:szCs w:val="28"/>
        </w:rPr>
      </w:r>
    </w:p>
    <w:p>
      <w:pPr>
        <w:pStyle w:val="1659"/>
        <w:ind w:firstLine="709"/>
        <w:jc w:val="both"/>
        <w:spacing w:after="0" w:line="283" w:lineRule="auto"/>
        <w:widowControl w:val="off"/>
        <w:rPr>
          <w:sz w:val="28"/>
          <w:szCs w:val="28"/>
          <w:highlight w:val="yellow"/>
        </w:rPr>
      </w:pPr>
      <w:r>
        <w:rPr>
          <w:sz w:val="28"/>
          <w:szCs w:val="28"/>
          <w:highlight w:val="yellow"/>
        </w:rPr>
      </w:r>
      <w:r>
        <w:rPr>
          <w:sz w:val="28"/>
          <w:szCs w:val="28"/>
          <w:highlight w:val="yellow"/>
        </w:rPr>
      </w:r>
      <w:r>
        <w:rPr>
          <w:sz w:val="28"/>
          <w:szCs w:val="28"/>
          <w:highlight w:val="yellow"/>
        </w:rPr>
      </w:r>
    </w:p>
    <w:p>
      <w:pPr>
        <w:pStyle w:val="1661"/>
        <w:ind w:firstLine="709"/>
        <w:jc w:val="both"/>
        <w:spacing w:after="0" w:line="283" w:lineRule="auto"/>
        <w:rPr>
          <w:b/>
          <w:i/>
          <w:sz w:val="28"/>
          <w:szCs w:val="28"/>
        </w:rPr>
        <w:outlineLvl w:val="1"/>
      </w:pPr>
      <w:r>
        <w:rPr>
          <w:b/>
          <w:i/>
          <w:sz w:val="28"/>
          <w:szCs w:val="28"/>
        </w:rPr>
        <w:t xml:space="preserve">Анализ динамики </w:t>
      </w:r>
      <w:r>
        <w:rPr>
          <w:b/>
          <w:i/>
          <w:sz w:val="28"/>
          <w:szCs w:val="28"/>
          <w:lang w:val="ru-RU"/>
        </w:rPr>
        <w:t xml:space="preserve">общей распространённости пагубного употребления наркотиков</w:t>
      </w:r>
      <w:r>
        <w:rPr>
          <w:b/>
          <w:i/>
          <w:sz w:val="28"/>
          <w:szCs w:val="28"/>
        </w:rPr>
      </w:r>
      <w:r>
        <w:rPr>
          <w:b/>
          <w:i/>
          <w:sz w:val="28"/>
          <w:szCs w:val="28"/>
        </w:rPr>
      </w:r>
    </w:p>
    <w:p>
      <w:pPr>
        <w:pStyle w:val="1661"/>
        <w:ind w:firstLine="709"/>
        <w:jc w:val="both"/>
        <w:spacing w:after="0" w:line="283" w:lineRule="auto"/>
        <w:rPr>
          <w:sz w:val="28"/>
          <w:szCs w:val="28"/>
        </w:rPr>
      </w:pPr>
      <w:r>
        <w:rPr>
          <w:sz w:val="28"/>
          <w:szCs w:val="28"/>
        </w:rPr>
        <w:t xml:space="preserve">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 xml:space="preserve">24</w:t>
      </w:r>
      <w:r>
        <w:rPr>
          <w:sz w:val="28"/>
          <w:szCs w:val="28"/>
        </w:rPr>
        <w:t xml:space="preserve"> году </w:t>
      </w:r>
      <w:r>
        <w:rPr>
          <w:sz w:val="28"/>
          <w:szCs w:val="28"/>
          <w:lang w:val="ru-RU"/>
        </w:rPr>
        <w:t xml:space="preserve">843 человека</w:t>
      </w:r>
      <w:r>
        <w:rPr>
          <w:sz w:val="28"/>
          <w:szCs w:val="28"/>
        </w:rPr>
        <w:t xml:space="preserve">, или </w:t>
      </w:r>
      <w:r>
        <w:rPr>
          <w:sz w:val="28"/>
          <w:szCs w:val="28"/>
          <w:lang w:val="ru-RU"/>
        </w:rPr>
        <w:t xml:space="preserve">47,9</w:t>
      </w:r>
      <w:r>
        <w:rPr>
          <w:sz w:val="28"/>
          <w:szCs w:val="28"/>
        </w:rPr>
        <w:t xml:space="preserve"> на 100 </w:t>
      </w:r>
      <w:r>
        <w:rPr>
          <w:sz w:val="28"/>
          <w:szCs w:val="28"/>
        </w:rPr>
        <w:t xml:space="preserve">тыс. </w:t>
      </w:r>
      <w:r>
        <w:rPr>
          <w:sz w:val="28"/>
          <w:szCs w:val="28"/>
        </w:rPr>
        <w:t xml:space="preserve">населения. В 20</w:t>
      </w:r>
      <w:r>
        <w:rPr>
          <w:sz w:val="28"/>
          <w:szCs w:val="28"/>
          <w:lang w:val="ru-RU"/>
        </w:rPr>
        <w:t xml:space="preserve">23</w:t>
      </w:r>
      <w:r>
        <w:rPr>
          <w:sz w:val="28"/>
          <w:szCs w:val="28"/>
        </w:rPr>
        <w:t xml:space="preserve"> году их число составляло </w:t>
      </w:r>
      <w:r>
        <w:rPr>
          <w:sz w:val="28"/>
          <w:szCs w:val="28"/>
          <w:lang w:val="ru-RU"/>
        </w:rPr>
        <w:t xml:space="preserve">912</w:t>
      </w:r>
      <w:r>
        <w:rPr>
          <w:sz w:val="28"/>
          <w:szCs w:val="28"/>
        </w:rPr>
        <w:t xml:space="preserve"> человек, или </w:t>
      </w:r>
      <w:r>
        <w:rPr>
          <w:sz w:val="28"/>
          <w:szCs w:val="28"/>
          <w:lang w:val="ru-RU"/>
        </w:rPr>
        <w:t xml:space="preserve">52,3</w:t>
      </w:r>
      <w:r>
        <w:rPr>
          <w:sz w:val="28"/>
          <w:szCs w:val="28"/>
        </w:rPr>
        <w:t xml:space="preserve"> на 100 тыс. населения. </w:t>
      </w:r>
      <w:r>
        <w:rPr>
          <w:sz w:val="28"/>
          <w:szCs w:val="28"/>
          <w:lang w:val="ru-RU"/>
        </w:rPr>
        <w:t xml:space="preserve">Уменьшение </w:t>
      </w:r>
      <w:r>
        <w:rPr>
          <w:sz w:val="28"/>
          <w:szCs w:val="28"/>
        </w:rPr>
        <w:t xml:space="preserve">составил</w:t>
      </w:r>
      <w:r>
        <w:rPr>
          <w:sz w:val="28"/>
          <w:szCs w:val="28"/>
          <w:lang w:val="ru-RU"/>
        </w:rPr>
        <w:t xml:space="preserve">о</w:t>
      </w:r>
      <w:r>
        <w:rPr>
          <w:sz w:val="28"/>
          <w:szCs w:val="28"/>
        </w:rPr>
        <w:t xml:space="preserve"> </w:t>
      </w:r>
      <w:r>
        <w:rPr>
          <w:sz w:val="28"/>
          <w:szCs w:val="28"/>
          <w:lang w:val="ru-RU"/>
        </w:rPr>
        <w:t xml:space="preserve">8,4 </w:t>
      </w:r>
      <w:r>
        <w:rPr>
          <w:sz w:val="28"/>
          <w:szCs w:val="28"/>
        </w:rPr>
        <w:t xml:space="preserve">%. </w:t>
      </w:r>
      <w:r>
        <w:rPr>
          <w:sz w:val="28"/>
          <w:szCs w:val="28"/>
          <w:lang w:val="ru-RU"/>
        </w:rPr>
        <w:t xml:space="preserve">(</w:t>
      </w:r>
      <w:r>
        <w:rPr>
          <w:sz w:val="28"/>
          <w:szCs w:val="28"/>
          <w:lang w:val="ru-RU"/>
        </w:rPr>
        <w:t xml:space="preserve">см. р</w:t>
      </w:r>
      <w:r>
        <w:rPr>
          <w:sz w:val="28"/>
          <w:szCs w:val="28"/>
          <w:lang w:val="ru-RU"/>
        </w:rPr>
        <w:t xml:space="preserve">ис. 12). </w:t>
      </w:r>
      <w:r>
        <w:rPr>
          <w:sz w:val="28"/>
          <w:szCs w:val="28"/>
          <w:lang w:val="ru-RU"/>
        </w:rPr>
        <w:t xml:space="preserve">Распространенность пагубного употребления наркотиков в целом по ХМАО</w:t>
      </w:r>
      <w:r>
        <w:rPr>
          <w:sz w:val="28"/>
          <w:szCs w:val="28"/>
          <w:lang w:val="ru-RU"/>
        </w:rPr>
        <w:t xml:space="preserve">-</w:t>
      </w:r>
      <w:r>
        <w:rPr>
          <w:sz w:val="28"/>
          <w:szCs w:val="28"/>
          <w:lang w:val="ru-RU"/>
        </w:rPr>
        <w:t xml:space="preserve">Югре ниже, чем в РФ в 2,3 раза (111,2 на 100 </w:t>
      </w:r>
      <w:r>
        <w:rPr>
          <w:sz w:val="28"/>
          <w:szCs w:val="28"/>
          <w:lang w:val="ru-RU"/>
        </w:rPr>
        <w:t xml:space="preserve">тыс. </w:t>
      </w:r>
      <w:r>
        <w:rPr>
          <w:sz w:val="28"/>
          <w:szCs w:val="28"/>
          <w:lang w:val="ru-RU"/>
        </w:rPr>
        <w:t xml:space="preserve">населения в 2022 г</w:t>
      </w:r>
      <w:r>
        <w:rPr>
          <w:sz w:val="28"/>
          <w:szCs w:val="28"/>
          <w:lang w:val="ru-RU"/>
        </w:rPr>
        <w:t xml:space="preserve">.</w:t>
      </w:r>
      <w:r>
        <w:rPr>
          <w:sz w:val="28"/>
          <w:szCs w:val="28"/>
          <w:lang w:val="ru-RU"/>
        </w:rPr>
        <w:t xml:space="preserve">), и ниже в 2,0 раза, чем в УрФО (98,5 на 100 </w:t>
      </w:r>
      <w:r>
        <w:rPr>
          <w:sz w:val="28"/>
          <w:szCs w:val="28"/>
          <w:lang w:val="ru-RU"/>
        </w:rPr>
        <w:t xml:space="preserve">тыс. </w:t>
      </w:r>
      <w:r>
        <w:rPr>
          <w:sz w:val="28"/>
          <w:szCs w:val="28"/>
          <w:lang w:val="ru-RU"/>
        </w:rPr>
        <w:t xml:space="preserve">населения в 2022 г</w:t>
      </w:r>
      <w:r>
        <w:rPr>
          <w:sz w:val="28"/>
          <w:szCs w:val="28"/>
          <w:lang w:val="ru-RU"/>
        </w:rPr>
        <w:t xml:space="preserve">.</w:t>
      </w:r>
      <w:r>
        <w:rPr>
          <w:sz w:val="28"/>
          <w:szCs w:val="28"/>
          <w:lang w:val="ru-RU"/>
        </w:rPr>
        <w:t xml:space="preserve">).</w:t>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24550" cy="2747287"/>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31"/>
                        <a:stretch/>
                      </pic:blipFill>
                      <pic:spPr bwMode="auto">
                        <a:xfrm>
                          <a:off x="0" y="0"/>
                          <a:ext cx="5950359" cy="27592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6.50pt;height:216.32pt;mso-wrap-distance-left:0.00pt;mso-wrap-distance-top:0.00pt;mso-wrap-distance-right:0.00pt;mso-wrap-distance-bottom:0.00pt;" stroked="f">
                <v:path textboxrect="0,0,0,0"/>
                <v:imagedata r:id="rId31"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Рис.1</w:t>
      </w:r>
      <w:r>
        <w:rPr>
          <w:sz w:val="28"/>
          <w:szCs w:val="28"/>
          <w:lang w:val="ru-RU"/>
        </w:rPr>
        <w:t xml:space="preserve">2</w:t>
      </w:r>
      <w:r>
        <w:rPr>
          <w:sz w:val="28"/>
          <w:szCs w:val="28"/>
        </w:rPr>
        <w:t xml:space="preserve">. Динамика показателя болезненности </w:t>
      </w:r>
      <w:r>
        <w:rPr>
          <w:sz w:val="28"/>
          <w:szCs w:val="28"/>
          <w:lang w:val="ru-RU"/>
        </w:rPr>
        <w:t xml:space="preserve">пагубного употребления наркотиков в 2020</w:t>
      </w:r>
      <w:r>
        <w:rPr>
          <w:sz w:val="28"/>
          <w:szCs w:val="28"/>
          <w:lang w:val="ru-RU"/>
        </w:rPr>
        <w:t xml:space="preserve"> </w:t>
      </w:r>
      <w:r>
        <w:rPr>
          <w:sz w:val="28"/>
          <w:szCs w:val="28"/>
          <w:lang w:val="ru-RU"/>
        </w:rPr>
        <w:t xml:space="preserve">-</w:t>
      </w:r>
      <w:r>
        <w:rPr>
          <w:sz w:val="28"/>
          <w:szCs w:val="28"/>
          <w:lang w:val="ru-RU"/>
        </w:rPr>
        <w:t xml:space="preserve"> </w:t>
      </w:r>
      <w:r>
        <w:rPr>
          <w:sz w:val="28"/>
          <w:szCs w:val="28"/>
          <w:lang w:val="ru-RU"/>
        </w:rPr>
        <w:t xml:space="preserve">2024 гг. </w:t>
      </w:r>
      <w:r>
        <w:rPr>
          <w:sz w:val="28"/>
          <w:szCs w:val="28"/>
        </w:rPr>
        <w:t xml:space="preserve">(на 100 </w:t>
      </w:r>
      <w:r>
        <w:rPr>
          <w:sz w:val="28"/>
          <w:szCs w:val="28"/>
        </w:rPr>
        <w:t xml:space="preserve">тыс. </w:t>
      </w:r>
      <w:r>
        <w:rPr>
          <w:sz w:val="28"/>
          <w:szCs w:val="28"/>
        </w:rPr>
        <w:t xml:space="preserve">населения)</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Общая распространенность пагубного употребления наркотиков среди несовершеннолетних в 2024 году составила 4,6 на 100 </w:t>
      </w:r>
      <w:r>
        <w:rPr>
          <w:sz w:val="28"/>
          <w:szCs w:val="28"/>
          <w:lang w:val="ru-RU"/>
        </w:rPr>
        <w:t xml:space="preserve">тыс. </w:t>
      </w:r>
      <w:r>
        <w:rPr>
          <w:sz w:val="28"/>
          <w:szCs w:val="28"/>
          <w:lang w:val="ru-RU"/>
        </w:rPr>
        <w:t xml:space="preserve">несовершеннолетних (абс. 20), что на 17,9 % выше, чем в 2023 году – 3,9 на 100 </w:t>
      </w:r>
      <w:r>
        <w:rPr>
          <w:sz w:val="28"/>
          <w:szCs w:val="28"/>
          <w:lang w:val="ru-RU"/>
        </w:rPr>
        <w:t xml:space="preserve">тыс. </w:t>
      </w:r>
      <w:r>
        <w:rPr>
          <w:sz w:val="28"/>
          <w:szCs w:val="28"/>
          <w:lang w:val="ru-RU"/>
        </w:rPr>
        <w:t xml:space="preserve">несовершеннолетних, или 17</w:t>
      </w:r>
      <w:r>
        <w:rPr>
          <w:sz w:val="28"/>
          <w:szCs w:val="28"/>
        </w:rPr>
        <w:t xml:space="preserve"> несовершеннолетних</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В соответствии с Порядком диспансерного наблюдения</w:t>
      </w:r>
      <w:r>
        <w:rPr>
          <w:rStyle w:val="1655"/>
          <w:sz w:val="28"/>
          <w:szCs w:val="28"/>
          <w:lang w:val="ru-RU"/>
        </w:rPr>
        <w:footnoteReference w:id="31"/>
      </w:r>
      <w:r>
        <w:rPr>
          <w:sz w:val="28"/>
          <w:szCs w:val="28"/>
          <w:lang w:val="ru-RU"/>
        </w:rPr>
        <w:t xml:space="preserve">, </w:t>
      </w:r>
      <w:r>
        <w:rPr>
          <w:sz w:val="28"/>
          <w:szCs w:val="28"/>
          <w:lang w:val="ru-RU"/>
        </w:rPr>
        <w:t xml:space="preserve">на конец</w:t>
      </w:r>
      <w:r>
        <w:rPr>
          <w:sz w:val="28"/>
          <w:szCs w:val="28"/>
          <w:lang w:val="ru-RU"/>
        </w:rPr>
        <w:t xml:space="preserve"> 2024 года, оно осуществлялось в отношении 16 несовершеннолетних из числа зарегистрированных с пагубным употреблением наркотических средств в отчетном году (80,0 %), в 2023 году – 47,1 % (8 из 17 человек). Остальные несовершеннолетние из числа </w:t>
      </w:r>
      <w:r>
        <w:rPr>
          <w:sz w:val="28"/>
          <w:szCs w:val="28"/>
          <w:lang w:val="ru-RU"/>
        </w:rPr>
        <w:t xml:space="preserve">зарегистрированных</w:t>
      </w:r>
      <w:r>
        <w:rPr>
          <w:sz w:val="28"/>
          <w:szCs w:val="28"/>
          <w:lang w:val="ru-RU"/>
        </w:rPr>
        <w:t xml:space="preserve"> были сняты в течение 2024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разрезе муниципальных образований (</w:t>
      </w:r>
      <w:r>
        <w:rPr>
          <w:sz w:val="28"/>
          <w:szCs w:val="28"/>
          <w:lang w:val="ru-RU"/>
        </w:rPr>
        <w:t xml:space="preserve">см. р</w:t>
      </w:r>
      <w:r>
        <w:rPr>
          <w:sz w:val="28"/>
          <w:szCs w:val="28"/>
        </w:rPr>
        <w:t xml:space="preserve">ис</w:t>
      </w:r>
      <w:r>
        <w:rPr>
          <w:sz w:val="28"/>
          <w:szCs w:val="28"/>
          <w:lang w:val="ru-RU"/>
        </w:rPr>
        <w:t xml:space="preserve">.</w:t>
      </w:r>
      <w:r>
        <w:rPr>
          <w:sz w:val="28"/>
          <w:szCs w:val="28"/>
        </w:rPr>
        <w:t xml:space="preserve"> </w:t>
      </w:r>
      <w:r>
        <w:rPr>
          <w:sz w:val="28"/>
          <w:szCs w:val="28"/>
          <w:lang w:val="ru-RU"/>
        </w:rPr>
        <w:t xml:space="preserve">13</w:t>
      </w:r>
      <w:r>
        <w:rPr>
          <w:sz w:val="28"/>
          <w:szCs w:val="28"/>
        </w:rPr>
        <w:t xml:space="preserve">) </w:t>
      </w:r>
      <w:r>
        <w:rPr>
          <w:sz w:val="28"/>
          <w:szCs w:val="28"/>
          <w:lang w:val="ru-RU"/>
        </w:rPr>
        <w:t xml:space="preserve">увеличени</w:t>
      </w:r>
      <w:r>
        <w:rPr>
          <w:sz w:val="28"/>
          <w:szCs w:val="28"/>
          <w:lang w:val="ru-RU"/>
        </w:rPr>
        <w:t xml:space="preserve">е</w:t>
      </w:r>
      <w:r>
        <w:rPr>
          <w:sz w:val="28"/>
          <w:szCs w:val="28"/>
          <w:lang w:val="ru-RU"/>
        </w:rPr>
        <w:t xml:space="preserve"> показателя распространенности пагубного употребления наркотиков среди несовершеннолетних зарегистрировано в шести муниципальных образованиях:</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г. </w:t>
      </w:r>
      <w:r>
        <w:rPr>
          <w:sz w:val="28"/>
          <w:szCs w:val="28"/>
          <w:lang w:val="ru-RU"/>
        </w:rPr>
        <w:t xml:space="preserve">Радужн</w:t>
      </w:r>
      <w:r>
        <w:rPr>
          <w:sz w:val="28"/>
          <w:szCs w:val="28"/>
          <w:lang w:val="ru-RU"/>
        </w:rPr>
        <w:t xml:space="preserve">ый</w:t>
      </w:r>
      <w:r>
        <w:rPr>
          <w:sz w:val="28"/>
          <w:szCs w:val="28"/>
          <w:lang w:val="ru-RU"/>
        </w:rPr>
        <w:t xml:space="preserve"> </w:t>
      </w:r>
      <w:r>
        <w:rPr>
          <w:color w:val="000000"/>
          <w:sz w:val="28"/>
          <w:szCs w:val="28"/>
          <w:lang w:val="ru-RU"/>
        </w:rPr>
        <w:t xml:space="preserve">с 0 до 2 случаев (15,4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г. Покачи </w:t>
      </w:r>
      <w:r>
        <w:rPr>
          <w:color w:val="000000"/>
          <w:sz w:val="28"/>
          <w:szCs w:val="28"/>
          <w:lang w:val="ru-RU"/>
        </w:rPr>
        <w:t xml:space="preserve">с 0 до 1 случая (20,8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г. Няган</w:t>
      </w:r>
      <w:r>
        <w:rPr>
          <w:sz w:val="28"/>
          <w:szCs w:val="28"/>
          <w:lang w:val="ru-RU"/>
        </w:rPr>
        <w:t xml:space="preserve">ь</w:t>
      </w:r>
      <w:r>
        <w:rPr>
          <w:sz w:val="28"/>
          <w:szCs w:val="28"/>
          <w:lang w:val="ru-RU"/>
        </w:rPr>
        <w:t xml:space="preserve"> </w:t>
      </w:r>
      <w:r>
        <w:rPr>
          <w:color w:val="000000"/>
          <w:sz w:val="28"/>
          <w:szCs w:val="28"/>
          <w:lang w:val="ru-RU"/>
        </w:rPr>
        <w:t xml:space="preserve">с 0 до 1 случая (6,1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г. Когалым </w:t>
      </w:r>
      <w:r>
        <w:rPr>
          <w:color w:val="000000"/>
          <w:sz w:val="28"/>
          <w:szCs w:val="28"/>
          <w:lang w:val="ru-RU"/>
        </w:rPr>
        <w:t xml:space="preserve">с 0 до 1 случая (5,8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г. Ханты-Мансийск</w:t>
      </w:r>
      <w:r>
        <w:rPr>
          <w:sz w:val="28"/>
          <w:szCs w:val="28"/>
          <w:lang w:val="ru-RU"/>
        </w:rPr>
        <w:t xml:space="preserve"> </w:t>
      </w:r>
      <w:r>
        <w:rPr>
          <w:color w:val="000000"/>
          <w:sz w:val="28"/>
          <w:szCs w:val="28"/>
          <w:lang w:val="ru-RU"/>
        </w:rPr>
        <w:t xml:space="preserve">с 0 до 1 случая (3,8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rPr>
      </w:r>
      <w:r>
        <w:rPr>
          <w:sz w:val="28"/>
          <w:szCs w:val="28"/>
        </w:rPr>
      </w:r>
    </w:p>
    <w:p>
      <w:pPr>
        <w:pStyle w:val="1661"/>
        <w:ind w:firstLine="709"/>
        <w:jc w:val="both"/>
        <w:spacing w:after="0" w:line="276" w:lineRule="auto"/>
        <w:rPr>
          <w:color w:val="000000"/>
          <w:sz w:val="28"/>
          <w:szCs w:val="28"/>
        </w:rPr>
      </w:pPr>
      <w:r>
        <w:rPr>
          <w:sz w:val="28"/>
          <w:szCs w:val="28"/>
          <w:lang w:val="ru-RU"/>
        </w:rPr>
        <w:t xml:space="preserve">г. Нижневартовск</w:t>
      </w:r>
      <w:r>
        <w:rPr>
          <w:sz w:val="28"/>
          <w:szCs w:val="28"/>
          <w:lang w:val="ru-RU"/>
        </w:rPr>
        <w:t xml:space="preserve"> </w:t>
      </w:r>
      <w:r>
        <w:rPr>
          <w:color w:val="000000"/>
          <w:sz w:val="28"/>
          <w:szCs w:val="28"/>
          <w:lang w:val="ru-RU"/>
        </w:rPr>
        <w:t xml:space="preserve">с 0 до 1 случая (1,5 на 100 </w:t>
      </w:r>
      <w:r>
        <w:rPr>
          <w:color w:val="000000"/>
          <w:sz w:val="28"/>
          <w:szCs w:val="28"/>
          <w:lang w:val="ru-RU"/>
        </w:rPr>
        <w:t xml:space="preserve">тыс. </w:t>
      </w:r>
      <w:r>
        <w:rPr>
          <w:color w:val="000000"/>
          <w:sz w:val="28"/>
          <w:szCs w:val="28"/>
          <w:lang w:val="ru-RU"/>
        </w:rPr>
        <w:t xml:space="preserve">несовершеннолетних).</w:t>
      </w:r>
      <w:r>
        <w:rPr>
          <w:color w:val="000000"/>
          <w:sz w:val="28"/>
          <w:szCs w:val="28"/>
        </w:rPr>
      </w:r>
      <w:r>
        <w:rPr>
          <w:color w:val="000000"/>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59308" cy="3486150"/>
                <wp:effectExtent l="0" t="0" r="381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32"/>
                        <a:stretch/>
                      </pic:blipFill>
                      <pic:spPr bwMode="auto">
                        <a:xfrm>
                          <a:off x="0" y="0"/>
                          <a:ext cx="6011536" cy="35167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9.24pt;height:274.50pt;mso-wrap-distance-left:0.00pt;mso-wrap-distance-top:0.00pt;mso-wrap-distance-right:0.00pt;mso-wrap-distance-bottom:0.00pt;" stroked="f">
                <v:path textboxrect="0,0,0,0"/>
                <v:imagedata r:id="rId32"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13</w:t>
      </w:r>
      <w:r>
        <w:rPr>
          <w:sz w:val="28"/>
          <w:szCs w:val="28"/>
        </w:rPr>
        <w:t xml:space="preserve">. Зарегистрировано несовершеннолетних с диагнозом «употребление наркотиков с вредными последствиями»</w:t>
      </w:r>
      <w:r>
        <w:rPr>
          <w:sz w:val="28"/>
          <w:szCs w:val="28"/>
          <w:lang w:val="ru-RU"/>
        </w:rPr>
        <w:t xml:space="preserve"> в 2023-2024 гг. в разрезе муниципальных образований </w:t>
      </w:r>
      <w:r>
        <w:rPr>
          <w:sz w:val="28"/>
          <w:szCs w:val="28"/>
        </w:rPr>
        <w:t xml:space="preserve">(</w:t>
      </w:r>
      <w:r>
        <w:rPr>
          <w:sz w:val="28"/>
          <w:szCs w:val="28"/>
          <w:lang w:val="ru-RU"/>
        </w:rPr>
        <w:t xml:space="preserve">абс.; </w:t>
      </w:r>
      <w:r>
        <w:rPr>
          <w:sz w:val="28"/>
          <w:szCs w:val="28"/>
        </w:rPr>
        <w:t xml:space="preserve">на 100 </w:t>
      </w:r>
      <w:r>
        <w:rPr>
          <w:sz w:val="28"/>
          <w:szCs w:val="28"/>
        </w:rPr>
        <w:t xml:space="preserve">тыс. </w:t>
      </w:r>
      <w:r>
        <w:rPr>
          <w:sz w:val="28"/>
          <w:szCs w:val="28"/>
          <w:lang w:val="ru-RU"/>
        </w:rPr>
        <w:t xml:space="preserve">несовершеннолетних</w:t>
      </w:r>
      <w:r>
        <w:rPr>
          <w:sz w:val="28"/>
          <w:szCs w:val="28"/>
        </w:rPr>
        <w:t xml:space="preserve">)</w:t>
      </w:r>
      <w:r>
        <w:rPr>
          <w:sz w:val="28"/>
          <w:szCs w:val="28"/>
        </w:rPr>
      </w:r>
      <w:r>
        <w:rPr>
          <w:sz w:val="28"/>
          <w:szCs w:val="28"/>
        </w:rPr>
      </w:r>
    </w:p>
    <w:p>
      <w:pPr>
        <w:pStyle w:val="1661"/>
        <w:ind w:firstLine="709"/>
        <w:jc w:val="both"/>
        <w:spacing w:after="0" w:line="276" w:lineRule="auto"/>
        <w:rPr>
          <w:color w:val="000000"/>
          <w:sz w:val="28"/>
          <w:szCs w:val="28"/>
        </w:rPr>
      </w:pPr>
      <w:r>
        <w:rPr>
          <w:color w:val="000000"/>
          <w:sz w:val="28"/>
          <w:szCs w:val="28"/>
        </w:rPr>
      </w:r>
      <w:r>
        <w:rPr>
          <w:color w:val="000000"/>
          <w:sz w:val="28"/>
          <w:szCs w:val="28"/>
        </w:rPr>
      </w:r>
      <w:r>
        <w:rPr>
          <w:color w:val="000000"/>
          <w:sz w:val="28"/>
          <w:szCs w:val="28"/>
        </w:rPr>
      </w:r>
    </w:p>
    <w:p>
      <w:pPr>
        <w:pStyle w:val="1661"/>
        <w:ind w:firstLine="709"/>
        <w:jc w:val="both"/>
        <w:spacing w:after="0" w:line="276" w:lineRule="auto"/>
        <w:rPr>
          <w:sz w:val="28"/>
          <w:szCs w:val="28"/>
        </w:rPr>
      </w:pPr>
      <w:r>
        <w:rPr>
          <w:color w:val="000000"/>
          <w:sz w:val="28"/>
          <w:szCs w:val="28"/>
          <w:lang w:val="ru-RU"/>
        </w:rPr>
        <w:t xml:space="preserve">В следующих муниципальных образованиях зафиксировано снижение </w:t>
      </w:r>
      <w:r>
        <w:rPr>
          <w:sz w:val="28"/>
          <w:szCs w:val="28"/>
        </w:rPr>
        <w:t xml:space="preserve">распространенност</w:t>
      </w:r>
      <w:r>
        <w:rPr>
          <w:sz w:val="28"/>
          <w:szCs w:val="28"/>
          <w:lang w:val="ru-RU"/>
        </w:rPr>
        <w:t xml:space="preserve">и</w:t>
      </w:r>
      <w:r>
        <w:rPr>
          <w:sz w:val="28"/>
          <w:szCs w:val="28"/>
        </w:rPr>
        <w:t xml:space="preserve"> </w:t>
      </w:r>
      <w:r>
        <w:rPr>
          <w:sz w:val="28"/>
          <w:szCs w:val="28"/>
          <w:lang w:val="ru-RU"/>
        </w:rPr>
        <w:t xml:space="preserve">пагубного употребления наркотиков среди несовершеннолетних: </w:t>
      </w:r>
      <w:r>
        <w:rPr>
          <w:sz w:val="28"/>
          <w:szCs w:val="28"/>
        </w:rPr>
      </w:r>
      <w:r>
        <w:rPr>
          <w:sz w:val="28"/>
          <w:szCs w:val="28"/>
        </w:rPr>
      </w:r>
    </w:p>
    <w:p>
      <w:pPr>
        <w:pStyle w:val="1661"/>
        <w:ind w:firstLine="709"/>
        <w:jc w:val="both"/>
        <w:spacing w:after="0" w:line="276" w:lineRule="auto"/>
        <w:rPr>
          <w:color w:val="000000"/>
          <w:sz w:val="28"/>
          <w:szCs w:val="28"/>
        </w:rPr>
      </w:pPr>
      <w:r>
        <w:rPr>
          <w:color w:val="000000"/>
          <w:sz w:val="28"/>
          <w:szCs w:val="28"/>
          <w:lang w:val="ru-RU"/>
        </w:rPr>
        <w:t xml:space="preserve">г. Сургут </w:t>
      </w:r>
      <w:r>
        <w:rPr>
          <w:sz w:val="28"/>
          <w:szCs w:val="28"/>
        </w:rPr>
        <w:t xml:space="preserve">–</w:t>
      </w:r>
      <w:r>
        <w:rPr>
          <w:sz w:val="28"/>
          <w:szCs w:val="28"/>
          <w:lang w:val="ru-RU"/>
        </w:rPr>
        <w:t xml:space="preserve"> </w:t>
      </w:r>
      <w:r>
        <w:rPr>
          <w:color w:val="000000"/>
          <w:sz w:val="28"/>
          <w:szCs w:val="28"/>
          <w:lang w:val="ru-RU"/>
        </w:rPr>
        <w:t xml:space="preserve">с 11 случаев (10,6 на 100 </w:t>
      </w:r>
      <w:r>
        <w:rPr>
          <w:color w:val="000000"/>
          <w:sz w:val="28"/>
          <w:szCs w:val="28"/>
          <w:lang w:val="ru-RU"/>
        </w:rPr>
        <w:t xml:space="preserve">тыс. </w:t>
      </w:r>
      <w:r>
        <w:rPr>
          <w:color w:val="000000"/>
          <w:sz w:val="28"/>
          <w:szCs w:val="28"/>
          <w:lang w:val="ru-RU"/>
        </w:rPr>
        <w:t xml:space="preserve">несовершеннолетних) до 9 случаев (8,5 на 100 </w:t>
      </w:r>
      <w:r>
        <w:rPr>
          <w:color w:val="000000"/>
          <w:sz w:val="28"/>
          <w:szCs w:val="28"/>
          <w:lang w:val="ru-RU"/>
        </w:rPr>
        <w:t xml:space="preserve">тыс. </w:t>
      </w:r>
      <w:r>
        <w:rPr>
          <w:color w:val="000000"/>
          <w:sz w:val="28"/>
          <w:szCs w:val="28"/>
          <w:lang w:val="ru-RU"/>
        </w:rPr>
        <w:t xml:space="preserve">несовершеннолетних);</w:t>
      </w:r>
      <w:r>
        <w:rPr>
          <w:color w:val="000000"/>
          <w:sz w:val="28"/>
          <w:szCs w:val="28"/>
        </w:rPr>
      </w:r>
      <w:r>
        <w:rPr>
          <w:color w:val="000000"/>
          <w:sz w:val="28"/>
          <w:szCs w:val="28"/>
        </w:rPr>
      </w:r>
    </w:p>
    <w:p>
      <w:pPr>
        <w:pStyle w:val="1661"/>
        <w:ind w:firstLine="709"/>
        <w:jc w:val="both"/>
        <w:spacing w:after="0" w:line="276" w:lineRule="auto"/>
        <w:rPr>
          <w:color w:val="000000"/>
          <w:sz w:val="28"/>
          <w:szCs w:val="28"/>
        </w:rPr>
      </w:pPr>
      <w:r>
        <w:rPr>
          <w:color w:val="000000"/>
          <w:sz w:val="28"/>
          <w:szCs w:val="28"/>
          <w:lang w:val="ru-RU"/>
        </w:rPr>
        <w:t xml:space="preserve">Сургутский район </w:t>
      </w:r>
      <w:r>
        <w:rPr>
          <w:sz w:val="28"/>
          <w:szCs w:val="28"/>
        </w:rPr>
        <w:t xml:space="preserve">–</w:t>
      </w:r>
      <w:r>
        <w:rPr>
          <w:sz w:val="28"/>
          <w:szCs w:val="28"/>
          <w:lang w:val="ru-RU"/>
        </w:rPr>
        <w:t xml:space="preserve"> </w:t>
      </w:r>
      <w:r>
        <w:rPr>
          <w:color w:val="000000"/>
          <w:sz w:val="28"/>
          <w:szCs w:val="28"/>
          <w:lang w:val="ru-RU"/>
        </w:rPr>
        <w:t xml:space="preserve">с 6 случаев (16,6 на 100 </w:t>
      </w:r>
      <w:r>
        <w:rPr>
          <w:color w:val="000000"/>
          <w:sz w:val="28"/>
          <w:szCs w:val="28"/>
          <w:lang w:val="ru-RU"/>
        </w:rPr>
        <w:t xml:space="preserve">тыс. </w:t>
      </w:r>
      <w:r>
        <w:rPr>
          <w:color w:val="000000"/>
          <w:sz w:val="28"/>
          <w:szCs w:val="28"/>
          <w:lang w:val="ru-RU"/>
        </w:rPr>
        <w:t xml:space="preserve">несовершеннолетних) до 4 случаев (10,9 на 100 </w:t>
      </w:r>
      <w:r>
        <w:rPr>
          <w:color w:val="000000"/>
          <w:sz w:val="28"/>
          <w:szCs w:val="28"/>
          <w:lang w:val="ru-RU"/>
        </w:rPr>
        <w:t xml:space="preserve">тыс. </w:t>
      </w:r>
      <w:r>
        <w:rPr>
          <w:color w:val="000000"/>
          <w:sz w:val="28"/>
          <w:szCs w:val="28"/>
          <w:lang w:val="ru-RU"/>
        </w:rPr>
        <w:t xml:space="preserve">несовершеннолетних).</w:t>
      </w:r>
      <w:r>
        <w:rPr>
          <w:color w:val="000000"/>
          <w:sz w:val="28"/>
          <w:szCs w:val="28"/>
        </w:rPr>
      </w:r>
      <w:r>
        <w:rPr>
          <w:color w:val="000000"/>
          <w:sz w:val="28"/>
          <w:szCs w:val="28"/>
        </w:rPr>
      </w:r>
    </w:p>
    <w:p>
      <w:pPr>
        <w:pStyle w:val="1661"/>
        <w:ind w:firstLine="709"/>
        <w:jc w:val="both"/>
        <w:spacing w:after="0" w:line="276" w:lineRule="auto"/>
        <w:rPr>
          <w:color w:val="000000"/>
          <w:sz w:val="28"/>
          <w:szCs w:val="28"/>
        </w:rPr>
      </w:pPr>
      <w:r>
        <w:rPr>
          <w:color w:val="000000"/>
          <w:sz w:val="28"/>
          <w:szCs w:val="28"/>
          <w:lang w:val="ru-RU"/>
        </w:rPr>
        <w:t xml:space="preserve">В других муниципальных образованиях распространённость пагубного употребления наркотиков среди несовершеннолетних </w:t>
      </w:r>
      <w:r>
        <w:rPr>
          <w:color w:val="000000"/>
          <w:sz w:val="28"/>
          <w:szCs w:val="28"/>
          <w:lang w:val="ru-RU"/>
        </w:rPr>
        <w:t xml:space="preserve">в 2023-2024 годах </w:t>
      </w:r>
      <w:r>
        <w:rPr>
          <w:color w:val="000000"/>
          <w:sz w:val="28"/>
          <w:szCs w:val="28"/>
          <w:lang w:val="ru-RU"/>
        </w:rPr>
        <w:t xml:space="preserve">не зарегистрирована.</w:t>
      </w:r>
      <w:r>
        <w:rPr>
          <w:color w:val="000000"/>
          <w:sz w:val="28"/>
          <w:szCs w:val="28"/>
        </w:rPr>
      </w:r>
      <w:r>
        <w:rPr>
          <w:color w:val="000000"/>
          <w:sz w:val="28"/>
          <w:szCs w:val="28"/>
        </w:rPr>
      </w:r>
    </w:p>
    <w:p>
      <w:pPr>
        <w:pStyle w:val="1661"/>
        <w:ind w:firstLine="709"/>
        <w:jc w:val="both"/>
        <w:spacing w:after="0" w:line="276" w:lineRule="auto"/>
        <w:rPr>
          <w:sz w:val="28"/>
          <w:szCs w:val="28"/>
        </w:rPr>
      </w:pPr>
      <w:r>
        <w:rPr>
          <w:sz w:val="28"/>
          <w:szCs w:val="28"/>
        </w:rPr>
        <w:t xml:space="preserve">Анализ долгосрочной динамики количества лиц, употребляющих наркотики с вредными последствиями, позволяет говорить о </w:t>
      </w:r>
      <w:r>
        <w:rPr>
          <w:sz w:val="28"/>
          <w:szCs w:val="28"/>
          <w:lang w:val="ru-RU"/>
        </w:rPr>
        <w:t xml:space="preserve">снижении </w:t>
      </w:r>
      <w:r>
        <w:rPr>
          <w:sz w:val="28"/>
          <w:szCs w:val="28"/>
        </w:rPr>
        <w:t xml:space="preserve">данного показателя </w:t>
      </w:r>
      <w:r>
        <w:rPr>
          <w:sz w:val="28"/>
          <w:szCs w:val="28"/>
        </w:rPr>
        <w:t xml:space="preserve">среди населения в целом</w:t>
      </w:r>
      <w:r>
        <w:rPr>
          <w:sz w:val="28"/>
          <w:szCs w:val="28"/>
        </w:rPr>
        <w:t xml:space="preserve">, начиная </w:t>
      </w:r>
      <w:r>
        <w:rPr>
          <w:sz w:val="28"/>
          <w:szCs w:val="28"/>
          <w:highlight w:val="white"/>
        </w:rPr>
        <w:t xml:space="preserve">с 20</w:t>
      </w:r>
      <w:r>
        <w:rPr>
          <w:sz w:val="28"/>
          <w:szCs w:val="28"/>
          <w:highlight w:val="white"/>
          <w:lang w:val="ru-RU"/>
        </w:rPr>
        <w:t xml:space="preserve">20</w:t>
      </w:r>
      <w:r>
        <w:rPr>
          <w:sz w:val="28"/>
          <w:szCs w:val="28"/>
          <w:highlight w:val="white"/>
        </w:rPr>
        <w:t xml:space="preserve"> год</w:t>
      </w:r>
      <w:r>
        <w:rPr>
          <w:sz w:val="28"/>
          <w:szCs w:val="28"/>
          <w:highlight w:val="white"/>
        </w:rPr>
        <w:t xml:space="preserve">а</w:t>
      </w:r>
      <w:r>
        <w:rPr>
          <w:sz w:val="28"/>
          <w:szCs w:val="28"/>
        </w:rPr>
        <w:t xml:space="preserve">,</w:t>
      </w:r>
      <w:r>
        <w:rPr>
          <w:sz w:val="28"/>
          <w:szCs w:val="28"/>
          <w:lang w:val="ru-RU"/>
        </w:rPr>
        <w:t xml:space="preserve"> и сохранение его на одном уровне среди </w:t>
      </w:r>
      <w:r>
        <w:rPr>
          <w:sz w:val="28"/>
          <w:szCs w:val="28"/>
        </w:rPr>
        <w:t xml:space="preserve">несовершеннолетних потребителей наркотических веществ</w:t>
      </w:r>
      <w:r>
        <w:rPr>
          <w:sz w:val="28"/>
          <w:szCs w:val="28"/>
          <w:lang w:val="ru-RU"/>
        </w:rPr>
        <w:t xml:space="preserve">.</w:t>
      </w:r>
      <w:r>
        <w:rPr>
          <w:sz w:val="28"/>
          <w:szCs w:val="28"/>
        </w:rPr>
      </w:r>
      <w:r>
        <w:rPr>
          <w:sz w:val="28"/>
          <w:szCs w:val="28"/>
        </w:rPr>
      </w:r>
    </w:p>
    <w:p>
      <w:pPr>
        <w:pStyle w:val="1661"/>
        <w:ind w:firstLine="709"/>
        <w:jc w:val="center"/>
        <w:spacing w:after="0" w:line="276" w:lineRule="auto"/>
        <w:rPr>
          <w:sz w:val="28"/>
          <w:szCs w:val="28"/>
          <w:highlight w:val="yellow"/>
        </w:rPr>
      </w:pPr>
      <w:r>
        <w:rPr>
          <w:sz w:val="28"/>
          <w:szCs w:val="28"/>
          <w:highlight w:val="yellow"/>
        </w:rPr>
      </w:r>
      <w:r>
        <w:rPr>
          <w:sz w:val="28"/>
          <w:szCs w:val="28"/>
          <w:highlight w:val="yellow"/>
        </w:rPr>
      </w:r>
      <w:r>
        <w:rPr>
          <w:sz w:val="28"/>
          <w:szCs w:val="28"/>
          <w:highlight w:val="yellow"/>
        </w:rPr>
      </w:r>
    </w:p>
    <w:p>
      <w:pPr>
        <w:ind w:firstLine="709"/>
        <w:spacing w:line="276" w:lineRule="auto"/>
        <w:rPr>
          <w:b/>
          <w:i/>
        </w:rPr>
        <w:outlineLvl w:val="1"/>
      </w:pPr>
      <w:r>
        <w:rPr>
          <w:b/>
          <w:i/>
        </w:rPr>
        <w:t xml:space="preserve">Анализ динамики </w:t>
      </w:r>
      <w:r>
        <w:rPr>
          <w:b/>
          <w:i/>
        </w:rPr>
        <w:t xml:space="preserve">первичной заболеваемости пагубного употребления наркотиков</w:t>
      </w:r>
      <w:r>
        <w:rPr>
          <w:b/>
          <w:i/>
        </w:rPr>
      </w:r>
      <w:r>
        <w:rPr>
          <w:b/>
          <w:i/>
        </w:rPr>
      </w:r>
    </w:p>
    <w:p>
      <w:pPr>
        <w:pStyle w:val="1661"/>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w:t>
      </w:r>
      <w:r>
        <w:rPr>
          <w:sz w:val="28"/>
          <w:szCs w:val="28"/>
        </w:rPr>
        <w:t xml:space="preserve"> </w:t>
      </w:r>
      <w:r>
        <w:rPr>
          <w:sz w:val="28"/>
          <w:szCs w:val="28"/>
        </w:rPr>
        <w:t xml:space="preserve">Ханты-Мансийском</w:t>
      </w:r>
      <w:r>
        <w:rPr>
          <w:sz w:val="28"/>
          <w:szCs w:val="28"/>
        </w:rPr>
        <w:t xml:space="preserve"> автономном округе – Югре </w:t>
      </w:r>
      <w:r>
        <w:rPr>
          <w:sz w:val="28"/>
          <w:szCs w:val="28"/>
          <w:lang w:val="ru-RU"/>
        </w:rPr>
        <w:t xml:space="preserve">(</w:t>
      </w:r>
      <w:r>
        <w:rPr>
          <w:sz w:val="28"/>
          <w:szCs w:val="28"/>
          <w:lang w:val="ru-RU"/>
        </w:rPr>
        <w:t xml:space="preserve">см. р</w:t>
      </w:r>
      <w:r>
        <w:rPr>
          <w:sz w:val="28"/>
          <w:szCs w:val="28"/>
          <w:lang w:val="ru-RU"/>
        </w:rPr>
        <w:t xml:space="preserve">ис. 14) в 2024 году составил 5,2 на 100 тыс. населения, или 91 новый случай, что </w:t>
      </w:r>
      <w:r>
        <w:rPr>
          <w:sz w:val="28"/>
          <w:szCs w:val="28"/>
        </w:rPr>
        <w:t xml:space="preserve">на </w:t>
      </w:r>
      <w:r>
        <w:rPr>
          <w:sz w:val="28"/>
          <w:szCs w:val="28"/>
          <w:lang w:val="ru-RU"/>
        </w:rPr>
        <w:t xml:space="preserve">30,7 %</w:t>
      </w:r>
      <w:r>
        <w:rPr>
          <w:sz w:val="28"/>
          <w:szCs w:val="28"/>
        </w:rPr>
        <w:t xml:space="preserve"> </w:t>
      </w:r>
      <w:r>
        <w:rPr>
          <w:sz w:val="28"/>
          <w:szCs w:val="28"/>
          <w:lang w:val="ru-RU"/>
        </w:rPr>
        <w:t xml:space="preserve">ниже</w:t>
      </w:r>
      <w:r>
        <w:rPr>
          <w:sz w:val="28"/>
          <w:szCs w:val="28"/>
        </w:rPr>
        <w:t xml:space="preserve">,</w:t>
      </w:r>
      <w:r>
        <w:rPr>
          <w:sz w:val="28"/>
          <w:szCs w:val="28"/>
          <w:lang w:val="ru-RU"/>
        </w:rPr>
        <w:t xml:space="preserve"> чем в 2023 году, когда было выявлено 130 новых случаев, или 7,5 на 100 тыс. населения. Для сравнения </w:t>
      </w:r>
      <w:r>
        <w:rPr>
          <w:sz w:val="28"/>
          <w:szCs w:val="28"/>
        </w:rPr>
        <w:t xml:space="preserve">в Уральском Федеральном округе </w:t>
      </w:r>
      <w:r>
        <w:rPr>
          <w:sz w:val="28"/>
          <w:szCs w:val="28"/>
          <w:lang w:val="ru-RU"/>
        </w:rPr>
        <w:t xml:space="preserve">показатель за 2022 год составил 16,2</w:t>
      </w:r>
      <w:r>
        <w:rPr>
          <w:sz w:val="28"/>
          <w:szCs w:val="28"/>
        </w:rPr>
        <w:t xml:space="preserve"> на 100 </w:t>
      </w:r>
      <w:r>
        <w:rPr>
          <w:sz w:val="28"/>
          <w:szCs w:val="28"/>
        </w:rPr>
        <w:t xml:space="preserve">тыс. </w:t>
      </w:r>
      <w:r>
        <w:rPr>
          <w:sz w:val="28"/>
          <w:szCs w:val="28"/>
        </w:rPr>
        <w:t xml:space="preserve">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w:t>
      </w:r>
      <w:r>
        <w:rPr>
          <w:sz w:val="28"/>
          <w:szCs w:val="28"/>
        </w:rPr>
        <w:t xml:space="preserve">тыс. </w:t>
      </w:r>
      <w:r>
        <w:rPr>
          <w:sz w:val="28"/>
          <w:szCs w:val="28"/>
        </w:rPr>
        <w:t xml:space="preserve">населения. </w:t>
      </w:r>
      <w:r>
        <w:rPr>
          <w:sz w:val="28"/>
          <w:szCs w:val="28"/>
        </w:rPr>
      </w:r>
      <w:r>
        <w:rPr>
          <w:sz w:val="28"/>
          <w:szCs w:val="28"/>
        </w:rPr>
      </w:r>
    </w:p>
    <w:p>
      <w:pPr>
        <w:pStyle w:val="1661"/>
        <w:ind w:firstLine="709"/>
        <w:jc w:val="both"/>
        <w:spacing w:after="0" w:line="276" w:lineRule="auto"/>
        <w:rPr>
          <w:sz w:val="28"/>
          <w:szCs w:val="28"/>
        </w:rPr>
      </w:pPr>
      <w:r>
        <w:rPr>
          <w:sz w:val="28"/>
          <w:szCs w:val="28"/>
        </w:rPr>
      </w:r>
      <w:r>
        <w:rPr>
          <w:sz w:val="28"/>
          <w:szCs w:val="28"/>
        </w:rPr>
      </w:r>
      <w:r>
        <w:rPr>
          <w:sz w:val="28"/>
          <w:szCs w:val="28"/>
        </w:rP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800725" cy="2640527"/>
                <wp:effectExtent l="0" t="0" r="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3"/>
                        <a:stretch/>
                      </pic:blipFill>
                      <pic:spPr bwMode="auto">
                        <a:xfrm>
                          <a:off x="0" y="0"/>
                          <a:ext cx="5798002" cy="26392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6.75pt;height:207.92pt;mso-wrap-distance-left:0.00pt;mso-wrap-distance-top:0.00pt;mso-wrap-distance-right:0.00pt;mso-wrap-distance-bottom:0.00pt;" stroked="f">
                <v:path textboxrect="0,0,0,0"/>
                <v:imagedata r:id="rId33"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14</w:t>
      </w:r>
      <w:r>
        <w:rPr>
          <w:sz w:val="28"/>
          <w:szCs w:val="28"/>
        </w:rPr>
        <w:t xml:space="preserve">. Динамика показателя </w:t>
      </w:r>
      <w:r>
        <w:rPr>
          <w:sz w:val="28"/>
          <w:szCs w:val="28"/>
          <w:lang w:val="ru-RU"/>
        </w:rPr>
        <w:t xml:space="preserve">первичной заболеваемости пагубного употребления наркотиков в 2020-2024 гг. </w:t>
      </w:r>
      <w:r>
        <w:rPr>
          <w:sz w:val="28"/>
          <w:szCs w:val="28"/>
        </w:rPr>
        <w:t xml:space="preserve">(на 100 </w:t>
      </w:r>
      <w:r>
        <w:rPr>
          <w:sz w:val="28"/>
          <w:szCs w:val="28"/>
        </w:rPr>
        <w:t xml:space="preserve">тыс. </w:t>
      </w:r>
      <w:r>
        <w:rPr>
          <w:sz w:val="28"/>
          <w:szCs w:val="28"/>
        </w:rPr>
        <w:t xml:space="preserve">населения)</w:t>
      </w:r>
      <w:r>
        <w:rPr>
          <w:sz w:val="28"/>
          <w:szCs w:val="28"/>
        </w:rPr>
      </w:r>
      <w:r>
        <w:rPr>
          <w:sz w:val="28"/>
          <w:szCs w:val="28"/>
        </w:rPr>
      </w:r>
    </w:p>
    <w:p>
      <w:pPr>
        <w:pStyle w:val="1661"/>
        <w:ind w:firstLine="0"/>
        <w:jc w:val="center"/>
        <w:spacing w:after="0" w:line="276" w:lineRule="auto"/>
        <w:rPr>
          <w:sz w:val="28"/>
          <w:szCs w:val="28"/>
        </w:rPr>
      </w:pPr>
      <w:r>
        <w:rPr>
          <w:sz w:val="28"/>
          <w:szCs w:val="28"/>
        </w:rPr>
      </w:r>
      <w:r>
        <w:rPr>
          <w:sz w:val="28"/>
          <w:szCs w:val="28"/>
        </w:rPr>
      </w:r>
      <w:r>
        <w:rPr>
          <w:sz w:val="28"/>
          <w:szCs w:val="28"/>
        </w:rP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w:t>
      </w:r>
      <w:r>
        <w:t xml:space="preserve">см. р</w:t>
      </w:r>
      <w:r>
        <w:t xml:space="preserve">ис. 15):</w:t>
      </w:r>
      <w:r/>
    </w:p>
    <w:p>
      <w:pPr>
        <w:ind w:firstLine="709"/>
        <w:spacing w:line="276" w:lineRule="auto"/>
        <w:rPr>
          <w:color w:val="000000"/>
        </w:rPr>
      </w:pPr>
      <w:r>
        <w:t xml:space="preserve">в г. Ханты-Мансийск</w:t>
      </w:r>
      <w:r>
        <w:t xml:space="preserve">е</w:t>
      </w:r>
      <w:r>
        <w:t xml:space="preserve"> увеличение с 2 случаев в 2023 году (1,8 на 100 </w:t>
      </w:r>
      <w:r>
        <w:t xml:space="preserve">тыс. </w:t>
      </w:r>
      <w:r>
        <w:t xml:space="preserve">населения) до 7 случаев в 2024 году (6,3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Кондинском районе увеличение с 2 случаев в 2023 году (6,6 на 100 </w:t>
      </w:r>
      <w:r>
        <w:t xml:space="preserve">тыс. </w:t>
      </w:r>
      <w:r>
        <w:t xml:space="preserve">населения) до 6 случаев в 2024 году (19,7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Нижневартовск</w:t>
      </w:r>
      <w:r>
        <w:t xml:space="preserve">е</w:t>
      </w:r>
      <w:r>
        <w:t xml:space="preserve"> увеличение с 10 случаев в 2023 году (3,5 на 100 </w:t>
      </w:r>
      <w:r>
        <w:t xml:space="preserve">тыс. </w:t>
      </w:r>
      <w:r>
        <w:t xml:space="preserve">населения) до 13 случаев в 2024 году (4,5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w:t>
      </w:r>
      <w:r>
        <w:t xml:space="preserve">Радужн</w:t>
      </w:r>
      <w:r>
        <w:t xml:space="preserve">ом</w:t>
      </w:r>
      <w:r>
        <w:t xml:space="preserve"> увеличение с 3 случаев в 2023 году (6,7 на 100 </w:t>
      </w:r>
      <w:r>
        <w:t xml:space="preserve">тыс. </w:t>
      </w:r>
      <w:r>
        <w:t xml:space="preserve">населения) до 6 случаев в 2024 году (13,2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Югорск</w:t>
      </w:r>
      <w:r>
        <w:t xml:space="preserve">е</w:t>
      </w:r>
      <w:r>
        <w:t xml:space="preserve"> увеличение с 1 случая в 2023 году (2,6 на 100 </w:t>
      </w:r>
      <w:r>
        <w:t xml:space="preserve">тыс. </w:t>
      </w:r>
      <w:r>
        <w:t xml:space="preserve">населения) до 2 случаев в 2024 году (5,1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w:t>
      </w:r>
      <w:r>
        <w:t xml:space="preserve"> </w:t>
      </w:r>
      <w:r>
        <w:t xml:space="preserve">Ханты-Мансийском</w:t>
      </w:r>
      <w:r>
        <w:t xml:space="preserve"> районе увеличение с 1 случая в 2023 году (5,3 на 100 </w:t>
      </w:r>
      <w:r>
        <w:t xml:space="preserve">тыс. </w:t>
      </w:r>
      <w:r>
        <w:t xml:space="preserve">населения) до 2 случаев в 2024 году (10,5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pPr>
      <w:r>
        <w:t xml:space="preserve">В Белоярском, Березовском и Нефтеюганском районах в 2023-2024 годах впервые в жизни потребители наркотиков с вредными последствиями</w:t>
      </w:r>
      <w:r>
        <w:t xml:space="preserve"> </w:t>
      </w:r>
      <w:r>
        <w:t xml:space="preserve">не зарегистрированы</w:t>
      </w:r>
      <w:r>
        <w:t xml:space="preserve">. </w:t>
      </w:r>
      <w:r/>
    </w:p>
    <w:p>
      <w:pPr>
        <w:ind w:firstLine="709"/>
        <w:spacing w:line="276" w:lineRule="auto"/>
      </w:pPr>
      <w:r>
        <w:t xml:space="preserve">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Стоит отметить, что </w:t>
      </w:r>
      <w:r>
        <w:rPr>
          <w:color w:val="000000"/>
        </w:rPr>
        <w:t xml:space="preserve">наблюдаемую</w:t>
      </w:r>
      <w:r>
        <w:t xml:space="preserve"> динамик</w:t>
      </w:r>
      <w:r>
        <w:t xml:space="preserve">у</w:t>
      </w:r>
      <w:r>
        <w:t xml:space="preserve">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w:t>
      </w:r>
      <w:r>
        <w:t xml:space="preserve">,</w:t>
      </w:r>
      <w:r>
        <w:t xml:space="preserve"> нельзя считать значимой. </w:t>
      </w:r>
      <w:r/>
    </w:p>
    <w:p>
      <w:pPr>
        <w:pStyle w:val="1661"/>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6019003" cy="3449555"/>
                <wp:effectExtent l="0" t="0" r="127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34"/>
                        <a:stretch/>
                      </pic:blipFill>
                      <pic:spPr bwMode="auto">
                        <a:xfrm>
                          <a:off x="0" y="0"/>
                          <a:ext cx="6017879" cy="34489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73.94pt;height:271.62pt;mso-wrap-distance-left:0.00pt;mso-wrap-distance-top:0.00pt;mso-wrap-distance-right:0.00pt;mso-wrap-distance-bottom:0.00pt;" stroked="f">
                <v:path textboxrect="0,0,0,0"/>
                <v:imagedata r:id="rId34" o:title=""/>
              </v:shape>
            </w:pict>
          </mc:Fallback>
        </mc:AlternateContent>
      </w:r>
      <w:r>
        <w:rPr>
          <w:sz w:val="28"/>
          <w:szCs w:val="28"/>
        </w:rPr>
      </w:r>
      <w:r>
        <w:rPr>
          <w:sz w:val="28"/>
          <w:szCs w:val="28"/>
        </w:rPr>
      </w:r>
    </w:p>
    <w:p>
      <w:pPr>
        <w:pStyle w:val="1661"/>
        <w:ind w:firstLine="0"/>
        <w:jc w:val="center"/>
        <w:spacing w:after="0"/>
        <w:rPr>
          <w:sz w:val="28"/>
          <w:szCs w:val="28"/>
        </w:rPr>
      </w:pPr>
      <w:r>
        <w:rPr>
          <w:sz w:val="28"/>
          <w:szCs w:val="28"/>
        </w:rPr>
        <w:t xml:space="preserve">Рис. </w:t>
      </w:r>
      <w:r>
        <w:rPr>
          <w:sz w:val="28"/>
          <w:szCs w:val="28"/>
          <w:lang w:val="ru-RU"/>
        </w:rPr>
        <w:t xml:space="preserve">15</w:t>
      </w:r>
      <w:r>
        <w:rPr>
          <w:sz w:val="28"/>
          <w:szCs w:val="28"/>
        </w:rPr>
        <w:t xml:space="preserve">. Зарегистрировано </w:t>
      </w:r>
      <w:r>
        <w:rPr>
          <w:sz w:val="28"/>
          <w:szCs w:val="28"/>
          <w:lang w:val="ru-RU"/>
        </w:rPr>
        <w:t xml:space="preserve">впервые в жизни </w:t>
      </w:r>
      <w:r>
        <w:rPr>
          <w:sz w:val="28"/>
          <w:szCs w:val="28"/>
        </w:rPr>
        <w:t xml:space="preserve">с диагнозом «употребление наркотиков с вредными последствиями» </w:t>
      </w:r>
      <w:r>
        <w:rPr>
          <w:sz w:val="28"/>
          <w:szCs w:val="28"/>
          <w:lang w:val="ru-RU"/>
        </w:rPr>
        <w:t xml:space="preserve">в 2023-2024 гг. </w:t>
      </w:r>
      <w:r>
        <w:rPr>
          <w:sz w:val="28"/>
          <w:szCs w:val="28"/>
          <w:lang w:val="ru-RU"/>
        </w:rPr>
        <w:br/>
      </w:r>
      <w:r>
        <w:rPr>
          <w:sz w:val="28"/>
          <w:szCs w:val="28"/>
        </w:rPr>
        <w:t xml:space="preserve">(на 100 </w:t>
      </w:r>
      <w:r>
        <w:rPr>
          <w:sz w:val="28"/>
          <w:szCs w:val="28"/>
        </w:rPr>
        <w:t xml:space="preserve">тыс. </w:t>
      </w:r>
      <w:r>
        <w:rPr>
          <w:sz w:val="28"/>
          <w:szCs w:val="28"/>
          <w:lang w:val="ru-RU"/>
        </w:rPr>
        <w:t xml:space="preserve">населения</w:t>
      </w:r>
      <w:r>
        <w:rPr>
          <w:sz w:val="28"/>
          <w:szCs w:val="28"/>
        </w:rPr>
        <w:t xml:space="preserve">)</w:t>
      </w:r>
      <w:r>
        <w:rPr>
          <w:sz w:val="28"/>
          <w:szCs w:val="28"/>
        </w:rPr>
      </w:r>
      <w:r>
        <w:rPr>
          <w:sz w:val="28"/>
          <w:szCs w:val="28"/>
        </w:rPr>
      </w:r>
    </w:p>
    <w:p>
      <w:pPr>
        <w:ind w:firstLine="709"/>
        <w:spacing w:line="276" w:lineRule="auto"/>
      </w:pPr>
      <w:r/>
      <w:r/>
    </w:p>
    <w:p>
      <w:pPr>
        <w:pStyle w:val="1661"/>
        <w:ind w:firstLine="709"/>
        <w:jc w:val="both"/>
        <w:spacing w:after="0" w:line="276" w:lineRule="auto"/>
        <w:rPr>
          <w:sz w:val="28"/>
          <w:szCs w:val="28"/>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2024 год зарегистрировано 12</w:t>
      </w:r>
      <w:r>
        <w:rPr>
          <w:sz w:val="28"/>
          <w:szCs w:val="28"/>
        </w:rPr>
        <w:t xml:space="preserve"> несовершеннолетних пациент</w:t>
      </w:r>
      <w:r>
        <w:rPr>
          <w:sz w:val="28"/>
          <w:szCs w:val="28"/>
          <w:lang w:val="ru-RU"/>
        </w:rPr>
        <w:t xml:space="preserve">ов (АППГ</w:t>
      </w:r>
      <w:r>
        <w:rPr>
          <w:rStyle w:val="1655"/>
          <w:sz w:val="28"/>
          <w:szCs w:val="28"/>
          <w:lang w:val="ru-RU"/>
        </w:rPr>
        <w:footnoteReference w:id="32"/>
      </w:r>
      <w:r>
        <w:rPr>
          <w:sz w:val="28"/>
          <w:szCs w:val="28"/>
          <w:lang w:val="ru-RU"/>
        </w:rPr>
        <w:t xml:space="preserve"> – 7), один ребенок в возрасте до 14 лет в г. Радужн</w:t>
      </w:r>
      <w:r>
        <w:rPr>
          <w:sz w:val="28"/>
          <w:szCs w:val="28"/>
          <w:lang w:val="ru-RU"/>
        </w:rPr>
        <w:t xml:space="preserve">ом</w:t>
      </w:r>
      <w:r>
        <w:rPr>
          <w:sz w:val="28"/>
          <w:szCs w:val="28"/>
          <w:lang w:val="ru-RU"/>
        </w:rPr>
        <w:t xml:space="preserve"> </w:t>
      </w:r>
      <w:r>
        <w:rPr>
          <w:sz w:val="28"/>
          <w:szCs w:val="28"/>
          <w:lang w:val="ru-RU"/>
        </w:rPr>
        <w:t xml:space="preserve">и одиннадцать подростков в возраст</w:t>
      </w:r>
      <w:r>
        <w:rPr>
          <w:sz w:val="28"/>
          <w:szCs w:val="28"/>
          <w:lang w:val="ru-RU"/>
        </w:rPr>
        <w:t xml:space="preserve">е 15-17 лет (четыре в г. Сургут</w:t>
      </w:r>
      <w:r>
        <w:rPr>
          <w:sz w:val="28"/>
          <w:szCs w:val="28"/>
          <w:lang w:val="ru-RU"/>
        </w:rPr>
        <w:t xml:space="preserve">е</w:t>
      </w:r>
      <w:r>
        <w:rPr>
          <w:sz w:val="28"/>
          <w:szCs w:val="28"/>
          <w:lang w:val="ru-RU"/>
        </w:rPr>
        <w:t xml:space="preserve"> и по одному в г</w:t>
      </w:r>
      <w:r>
        <w:rPr>
          <w:sz w:val="28"/>
          <w:szCs w:val="28"/>
          <w:lang w:val="ru-RU"/>
        </w:rPr>
        <w:t xml:space="preserve">ородах</w:t>
      </w:r>
      <w:r>
        <w:rPr>
          <w:sz w:val="28"/>
          <w:szCs w:val="28"/>
          <w:lang w:val="ru-RU"/>
        </w:rPr>
        <w:t xml:space="preserve"> Когалым, Нижневартовск, Нягань, Покачи, Радужный, Ханты-Мансийск и </w:t>
      </w:r>
      <w:r>
        <w:rPr>
          <w:sz w:val="28"/>
          <w:szCs w:val="28"/>
          <w:lang w:val="ru-RU"/>
        </w:rPr>
        <w:t xml:space="preserve">в </w:t>
      </w:r>
      <w:r>
        <w:rPr>
          <w:sz w:val="28"/>
          <w:szCs w:val="28"/>
          <w:lang w:val="ru-RU"/>
        </w:rPr>
        <w:t xml:space="preserve">Сургутски</w:t>
      </w:r>
      <w:r>
        <w:rPr>
          <w:sz w:val="28"/>
          <w:szCs w:val="28"/>
          <w:lang w:val="ru-RU"/>
        </w:rPr>
        <w:t xml:space="preserve">ом</w:t>
      </w:r>
      <w:r>
        <w:rPr>
          <w:sz w:val="28"/>
          <w:szCs w:val="28"/>
          <w:lang w:val="ru-RU"/>
        </w:rPr>
        <w:t xml:space="preserve"> район</w:t>
      </w:r>
      <w:r>
        <w:rPr>
          <w:sz w:val="28"/>
          <w:szCs w:val="28"/>
          <w:lang w:val="ru-RU"/>
        </w:rPr>
        <w:t xml:space="preserve">е</w:t>
      </w:r>
      <w:r>
        <w:rPr>
          <w:sz w:val="28"/>
          <w:szCs w:val="28"/>
          <w:lang w:val="ru-RU"/>
        </w:rPr>
        <w:t xml:space="preserve">). В 2023 году зарегистрировано 7</w:t>
      </w:r>
      <w:r>
        <w:rPr>
          <w:sz w:val="28"/>
          <w:szCs w:val="28"/>
        </w:rPr>
        <w:t xml:space="preserve"> несовершеннолетних </w:t>
      </w:r>
      <w:r>
        <w:rPr>
          <w:sz w:val="28"/>
          <w:szCs w:val="28"/>
        </w:rPr>
        <w:t xml:space="preserve">пациент</w:t>
      </w:r>
      <w:r>
        <w:rPr>
          <w:sz w:val="28"/>
          <w:szCs w:val="28"/>
          <w:lang w:val="ru-RU"/>
        </w:rPr>
        <w:t xml:space="preserve">ов, один ребенок в</w:t>
      </w:r>
      <w:r>
        <w:rPr>
          <w:sz w:val="28"/>
          <w:szCs w:val="28"/>
          <w:lang w:val="ru-RU"/>
        </w:rPr>
        <w:t xml:space="preserve"> возрасте до 14 лет в г. Сургут</w:t>
      </w:r>
      <w:r>
        <w:rPr>
          <w:sz w:val="28"/>
          <w:szCs w:val="28"/>
          <w:lang w:val="ru-RU"/>
        </w:rPr>
        <w:t xml:space="preserve">е</w:t>
      </w:r>
      <w:r>
        <w:rPr>
          <w:sz w:val="28"/>
          <w:szCs w:val="28"/>
          <w:lang w:val="ru-RU"/>
        </w:rPr>
        <w:t xml:space="preserve"> и шесть подростков в возраст</w:t>
      </w:r>
      <w:r>
        <w:rPr>
          <w:sz w:val="28"/>
          <w:szCs w:val="28"/>
          <w:lang w:val="ru-RU"/>
        </w:rPr>
        <w:t xml:space="preserve">е 15-17 лет (четыре в г. Сургут</w:t>
      </w:r>
      <w:r>
        <w:rPr>
          <w:sz w:val="28"/>
          <w:szCs w:val="28"/>
          <w:lang w:val="ru-RU"/>
        </w:rPr>
        <w:t xml:space="preserve">е</w:t>
      </w:r>
      <w:r>
        <w:rPr>
          <w:sz w:val="28"/>
          <w:szCs w:val="28"/>
          <w:lang w:val="ru-RU"/>
        </w:rPr>
        <w:t xml:space="preserve"> и два в Сургутском районе).</w:t>
      </w:r>
      <w:r>
        <w:rPr>
          <w:sz w:val="28"/>
          <w:szCs w:val="28"/>
        </w:rPr>
      </w:r>
      <w:r>
        <w:rPr>
          <w:sz w:val="28"/>
          <w:szCs w:val="28"/>
        </w:rPr>
      </w:r>
    </w:p>
    <w:p>
      <w:pPr>
        <w:pStyle w:val="1661"/>
        <w:ind w:firstLine="709"/>
        <w:jc w:val="both"/>
        <w:spacing w:after="0" w:line="276" w:lineRule="auto"/>
        <w:rPr>
          <w:sz w:val="28"/>
          <w:szCs w:val="28"/>
          <w:highlight w:val="yellow"/>
        </w:rPr>
      </w:pPr>
      <w:r>
        <w:rPr>
          <w:sz w:val="28"/>
          <w:szCs w:val="28"/>
          <w:highlight w:val="yellow"/>
        </w:rPr>
      </w:r>
      <w:r>
        <w:rPr>
          <w:sz w:val="28"/>
          <w:szCs w:val="28"/>
          <w:highlight w:val="yellow"/>
        </w:rPr>
      </w:r>
      <w:r>
        <w:rPr>
          <w:sz w:val="28"/>
          <w:szCs w:val="28"/>
          <w:highlight w:val="yellow"/>
        </w:rPr>
      </w:r>
    </w:p>
    <w:p>
      <w:pPr>
        <w:ind w:firstLine="709"/>
        <w:spacing w:line="276" w:lineRule="auto"/>
        <w:outlineLvl w:val="1"/>
      </w:pPr>
      <w:r>
        <w:rPr>
          <w:b/>
          <w:i/>
        </w:rPr>
        <w:t xml:space="preserve">Анализ </w:t>
      </w:r>
      <w:r>
        <w:rPr>
          <w:b/>
          <w:i/>
        </w:rPr>
        <w:t xml:space="preserve">других медицинских показателей у лиц с наркологическими расстройствами, связанными с употреблением наркотиков</w:t>
      </w:r>
      <w:r/>
    </w:p>
    <w:p>
      <w:pPr>
        <w:pStyle w:val="1661"/>
        <w:ind w:firstLine="709"/>
        <w:jc w:val="both"/>
        <w:spacing w:after="0" w:line="276" w:lineRule="auto"/>
        <w:rPr>
          <w:sz w:val="28"/>
          <w:szCs w:val="28"/>
        </w:rPr>
      </w:pPr>
      <w:r>
        <w:rPr>
          <w:sz w:val="28"/>
          <w:szCs w:val="28"/>
          <w:lang w:val="ru-RU"/>
        </w:rPr>
        <w:t xml:space="preserve">Имеют </w:t>
      </w:r>
      <w:r>
        <w:rPr>
          <w:sz w:val="28"/>
          <w:szCs w:val="28"/>
        </w:rPr>
        <w:t xml:space="preserve">ВИЧ–позитивный</w:t>
      </w:r>
      <w:r>
        <w:rPr>
          <w:sz w:val="28"/>
          <w:szCs w:val="28"/>
        </w:rPr>
        <w:t xml:space="preserve"> статус </w:t>
      </w:r>
      <w:r>
        <w:rPr>
          <w:sz w:val="28"/>
          <w:szCs w:val="28"/>
          <w:lang w:val="ru-RU"/>
        </w:rPr>
        <w:t xml:space="preserve">526 </w:t>
      </w:r>
      <w:r>
        <w:rPr>
          <w:sz w:val="28"/>
          <w:szCs w:val="28"/>
        </w:rPr>
        <w:t xml:space="preserve">человек </w:t>
      </w:r>
      <w:r>
        <w:rPr>
          <w:sz w:val="28"/>
          <w:szCs w:val="28"/>
          <w:lang w:val="ru-RU"/>
        </w:rPr>
        <w:t xml:space="preserve">и</w:t>
      </w:r>
      <w:r>
        <w:rPr>
          <w:sz w:val="28"/>
          <w:szCs w:val="28"/>
        </w:rPr>
        <w:t xml:space="preserve">з числа зарегистрированных больных </w:t>
      </w:r>
      <w:r>
        <w:rPr>
          <w:sz w:val="28"/>
          <w:szCs w:val="28"/>
          <w:lang w:val="ru-RU"/>
        </w:rPr>
        <w:t xml:space="preserve">с </w:t>
      </w:r>
      <w:r>
        <w:rPr>
          <w:sz w:val="28"/>
          <w:szCs w:val="28"/>
        </w:rPr>
        <w:t xml:space="preserve">наркоманией</w:t>
      </w:r>
      <w:r>
        <w:rPr>
          <w:sz w:val="28"/>
          <w:szCs w:val="28"/>
          <w:lang w:val="ru-RU"/>
        </w:rPr>
        <w:t xml:space="preserve"> </w:t>
      </w:r>
      <w:r>
        <w:rPr>
          <w:sz w:val="28"/>
          <w:szCs w:val="28"/>
        </w:rPr>
        <w:t xml:space="preserve">(</w:t>
      </w:r>
      <w:r>
        <w:rPr>
          <w:sz w:val="28"/>
          <w:szCs w:val="28"/>
          <w:lang w:val="ru-RU"/>
        </w:rPr>
        <w:t xml:space="preserve">32,2 </w:t>
      </w:r>
      <w:r>
        <w:rPr>
          <w:sz w:val="28"/>
          <w:szCs w:val="28"/>
        </w:rPr>
        <w:t xml:space="preserve">% зарегистрированных больных</w:t>
      </w:r>
      <w:r>
        <w:rPr>
          <w:sz w:val="28"/>
          <w:szCs w:val="28"/>
          <w:lang w:val="ru-RU"/>
        </w:rPr>
        <w:t xml:space="preserve"> с наркоманией</w:t>
      </w:r>
      <w:r>
        <w:rPr>
          <w:sz w:val="28"/>
          <w:szCs w:val="28"/>
        </w:rPr>
        <w:t xml:space="preserve">, в 20</w:t>
      </w:r>
      <w:r>
        <w:rPr>
          <w:sz w:val="28"/>
          <w:szCs w:val="28"/>
          <w:lang w:val="ru-RU"/>
        </w:rPr>
        <w:t xml:space="preserve">23</w:t>
      </w:r>
      <w:r>
        <w:rPr>
          <w:sz w:val="28"/>
          <w:szCs w:val="28"/>
        </w:rPr>
        <w:t xml:space="preserve"> г</w:t>
      </w:r>
      <w:r>
        <w:rPr>
          <w:sz w:val="28"/>
          <w:szCs w:val="28"/>
          <w:lang w:val="ru-RU"/>
        </w:rPr>
        <w:t xml:space="preserve">.</w:t>
      </w:r>
      <w:r>
        <w:rPr>
          <w:sz w:val="28"/>
          <w:szCs w:val="28"/>
        </w:rPr>
        <w:t xml:space="preserve"> </w:t>
      </w:r>
      <w:r>
        <w:rPr>
          <w:sz w:val="28"/>
          <w:szCs w:val="28"/>
          <w:lang w:val="ru-RU"/>
        </w:rPr>
        <w:t xml:space="preserve">545 </w:t>
      </w:r>
      <w:r>
        <w:rPr>
          <w:sz w:val="28"/>
          <w:szCs w:val="28"/>
        </w:rPr>
        <w:t xml:space="preserve">человек, или </w:t>
      </w:r>
      <w:r>
        <w:rPr>
          <w:sz w:val="28"/>
          <w:szCs w:val="28"/>
          <w:lang w:val="ru-RU"/>
        </w:rPr>
        <w:t xml:space="preserve">32,3 </w:t>
      </w:r>
      <w:r>
        <w:rPr>
          <w:sz w:val="28"/>
          <w:szCs w:val="28"/>
        </w:rPr>
        <w:t xml:space="preserve">%</w:t>
      </w:r>
      <w:r>
        <w:rPr>
          <w:sz w:val="28"/>
          <w:szCs w:val="28"/>
          <w:lang w:val="ru-RU"/>
        </w:rPr>
        <w:t xml:space="preserve">)</w:t>
      </w:r>
      <w:r>
        <w:rPr>
          <w:sz w:val="28"/>
          <w:szCs w:val="28"/>
        </w:rPr>
        <w:t xml:space="preserve">; и </w:t>
      </w:r>
      <w:r>
        <w:rPr>
          <w:sz w:val="28"/>
          <w:szCs w:val="28"/>
          <w:lang w:val="ru-RU"/>
        </w:rPr>
        <w:t xml:space="preserve">63</w:t>
      </w:r>
      <w:r>
        <w:rPr>
          <w:sz w:val="28"/>
          <w:szCs w:val="28"/>
        </w:rPr>
        <w:t xml:space="preserve"> человек</w:t>
      </w:r>
      <w:r>
        <w:rPr>
          <w:sz w:val="28"/>
          <w:szCs w:val="28"/>
          <w:lang w:val="ru-RU"/>
        </w:rPr>
        <w:t xml:space="preserve">а из числа потребителей наркотиков с вредными последствиями </w:t>
      </w:r>
      <w:r>
        <w:rPr>
          <w:sz w:val="28"/>
          <w:szCs w:val="28"/>
        </w:rPr>
        <w:t xml:space="preserve">(</w:t>
      </w:r>
      <w:r>
        <w:rPr>
          <w:sz w:val="28"/>
          <w:szCs w:val="28"/>
          <w:lang w:val="ru-RU"/>
        </w:rPr>
        <w:t xml:space="preserve">7,5 %</w:t>
      </w:r>
      <w:r>
        <w:rPr>
          <w:sz w:val="28"/>
          <w:szCs w:val="28"/>
          <w:lang w:val="ru-RU"/>
        </w:rPr>
        <w:t xml:space="preserve"> зарегистрированных больных с пагубным употреблением наркотиков, в 2023 г</w:t>
      </w:r>
      <w:r>
        <w:rPr>
          <w:sz w:val="28"/>
          <w:szCs w:val="28"/>
          <w:lang w:val="ru-RU"/>
        </w:rPr>
        <w:t xml:space="preserve">. </w:t>
      </w:r>
      <w:r>
        <w:rPr>
          <w:sz w:val="28"/>
          <w:szCs w:val="28"/>
          <w:lang w:val="ru-RU"/>
        </w:rPr>
        <w:t xml:space="preserve">67 человек, или 7,3 %). Удельный вес </w:t>
      </w:r>
      <w:r>
        <w:rPr>
          <w:sz w:val="28"/>
          <w:szCs w:val="28"/>
          <w:lang w:val="ru-RU"/>
        </w:rPr>
        <w:t xml:space="preserve">ВИЧ-позитивных</w:t>
      </w:r>
      <w:r>
        <w:rPr>
          <w:sz w:val="28"/>
          <w:szCs w:val="28"/>
          <w:lang w:val="ru-RU"/>
        </w:rPr>
        <w:t xml:space="preserve"> среди зарегистрированных потребителей наркотиков инъекционным способом в 2024 году составил 38,8 %, в 2023 году – 39,0 %.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2024 году составил 7,2 %, в 2023 году – 8,1 %.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Таким образом, доля ВИЧ-инфицированных среди лиц, употребляющих наркотики, по сравнению с 20</w:t>
      </w:r>
      <w:r>
        <w:rPr>
          <w:sz w:val="28"/>
          <w:szCs w:val="28"/>
          <w:lang w:val="ru-RU"/>
        </w:rPr>
        <w:t xml:space="preserve">23</w:t>
      </w:r>
      <w:r>
        <w:rPr>
          <w:sz w:val="28"/>
          <w:szCs w:val="28"/>
        </w:rPr>
        <w:t xml:space="preserve"> годом </w:t>
      </w:r>
      <w:r>
        <w:rPr>
          <w:sz w:val="28"/>
          <w:szCs w:val="28"/>
          <w:lang w:val="ru-RU"/>
        </w:rPr>
        <w:t xml:space="preserve">незначительно уменьшилась</w:t>
      </w:r>
      <w:r>
        <w:rPr>
          <w:sz w:val="28"/>
          <w:szCs w:val="28"/>
        </w:rPr>
        <w:t xml:space="preserve">, </w:t>
      </w:r>
      <w:r>
        <w:rPr>
          <w:sz w:val="28"/>
          <w:szCs w:val="28"/>
          <w:lang w:val="ru-RU"/>
        </w:rPr>
        <w:t xml:space="preserve">на фоне снижения общего числа зарегистрированных потребителей наркотиков, и сокращении числа лиц имеющих положительный ВИЧ-статус. </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Доля лиц с пагубным у</w:t>
      </w:r>
      <w:r>
        <w:rPr>
          <w:sz w:val="28"/>
          <w:szCs w:val="28"/>
        </w:rPr>
        <w:t xml:space="preserve">потреблением наркотиков, снятых с диспансерного наблюдения в связи с выздоровлением (длительным воздержанием), составляет в 2024 году 15,0 на 100 больных среднегодового контингента, что на 14,8 % меньше, чем в 2023 году – 17,6 на 100 среднегодовых больных.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2024 </w:t>
      </w:r>
      <w:r>
        <w:rPr>
          <w:sz w:val="28"/>
          <w:szCs w:val="28"/>
        </w:rPr>
        <w:t xml:space="preserve">года, находятся в ремиссии: от 6 месяцев до 1 года </w:t>
      </w:r>
      <w:r>
        <w:rPr>
          <w:sz w:val="28"/>
          <w:szCs w:val="28"/>
          <w:lang w:val="ru-RU"/>
        </w:rPr>
        <w:t xml:space="preserve">22,7 больных на 100 больных среднегодового контингента с наркотической зависимостью (2023 г</w:t>
      </w:r>
      <w:r>
        <w:rPr>
          <w:sz w:val="28"/>
          <w:szCs w:val="28"/>
          <w:lang w:val="ru-RU"/>
        </w:rPr>
        <w:t xml:space="preserve">. </w:t>
      </w:r>
      <w:r>
        <w:rPr>
          <w:sz w:val="28"/>
          <w:szCs w:val="28"/>
          <w:lang w:val="ru-RU"/>
        </w:rPr>
        <w:t xml:space="preserve">– 16,2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16,8 на 100 больных среднегодового контингента (2023 г</w:t>
      </w:r>
      <w:r>
        <w:rPr>
          <w:sz w:val="28"/>
          <w:szCs w:val="28"/>
          <w:lang w:val="ru-RU"/>
        </w:rPr>
        <w:t xml:space="preserve">.</w:t>
      </w:r>
      <w:r>
        <w:rPr>
          <w:sz w:val="28"/>
          <w:szCs w:val="28"/>
          <w:lang w:val="ru-RU"/>
        </w:rPr>
        <w:t xml:space="preserve"> – 20,0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17,7 на 100 больных среднегодового контингента (2023 г</w:t>
      </w:r>
      <w:r>
        <w:rPr>
          <w:sz w:val="28"/>
          <w:szCs w:val="28"/>
          <w:lang w:val="ru-RU"/>
        </w:rPr>
        <w:t xml:space="preserve">.</w:t>
      </w:r>
      <w:r>
        <w:rPr>
          <w:sz w:val="28"/>
          <w:szCs w:val="28"/>
          <w:lang w:val="ru-RU"/>
        </w:rPr>
        <w:t xml:space="preserve"> – 16,2 на 100 больных среднегодового контингента)</w:t>
      </w:r>
      <w:r>
        <w:rPr>
          <w:sz w:val="28"/>
          <w:szCs w:val="28"/>
        </w:rPr>
        <w:t xml:space="preserve">.</w:t>
      </w:r>
      <w:r>
        <w:rPr>
          <w:sz w:val="28"/>
          <w:szCs w:val="28"/>
        </w:rPr>
      </w:r>
      <w:r>
        <w:rPr>
          <w:sz w:val="28"/>
          <w:szCs w:val="28"/>
        </w:rPr>
      </w:r>
    </w:p>
    <w:p>
      <w:pPr>
        <w:ind w:firstLine="709"/>
        <w:spacing w:line="276" w:lineRule="auto"/>
      </w:pPr>
      <w:r>
        <w:t xml:space="preserve">За 2024 год в целом по автономному округу на наркологических койках пролечено 636 человек с различными наркологическими расстройствами (АППГ – 660), связанными с употреблением наркотиков.</w:t>
      </w:r>
      <w:r/>
    </w:p>
    <w:p>
      <w:pPr>
        <w:ind w:firstLine="709"/>
        <w:spacing w:line="276" w:lineRule="auto"/>
      </w:pPr>
      <w:r>
        <w:t xml:space="preserve">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w:t>
      </w:r>
      <w:r>
        <w:t xml:space="preserve">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r/>
    </w:p>
    <w:p>
      <w:pPr>
        <w:ind w:firstLine="709"/>
        <w:spacing w:line="276" w:lineRule="auto"/>
      </w:pPr>
      <w:r>
        <w:t xml:space="preserve">Кроме того, в 2024 году 4,0 % больных наркотической зависимостью (абс. 56) из числа состоящих под наблюдением </w:t>
      </w:r>
      <w:r>
        <w:t xml:space="preserve">в этот период</w:t>
      </w:r>
      <w:r>
        <w:t xml:space="preserve"> больных с наркоманией были включены </w:t>
      </w:r>
      <w:r>
        <w:t xml:space="preserve">в программы амбулаторной реабилитации, 67,9 % из них успешно завершили реабилитационные программы (абс. 38 чел.). В 2023 году 4,2 % наркозависимых были включены (абс. 60) в амбулаторные реабилитационные программы, 58,3 % из них их завершили (абс. 35 чел.).</w:t>
      </w:r>
      <w:r/>
    </w:p>
    <w:p>
      <w:pPr>
        <w:pStyle w:val="1659"/>
        <w:ind w:firstLine="709"/>
        <w:jc w:val="both"/>
        <w:spacing w:after="0" w:line="276" w:lineRule="auto"/>
        <w:widowControl w:val="off"/>
        <w:rPr>
          <w:sz w:val="28"/>
          <w:szCs w:val="28"/>
        </w:rPr>
      </w:pPr>
      <w:r>
        <w:rPr>
          <w:sz w:val="28"/>
          <w:szCs w:val="28"/>
        </w:rPr>
        <w:t xml:space="preserve">Анализируя итоги работы наркологической службы за 2024 год, можно отметить следующие тенденции:</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снижение общей заболеваемости наркоманией среди всего населения;</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отсутствие общей заболеваемости наркоманией среди несовершеннолетних;</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увеличение первичной заболеваемости наркоманией среди всего населения;</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отсутствие первичной заболеваемости наркоманией среди несовершеннолетних;</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уменьшение общей заболеваемости пагубного употребления наркотиков среди всего населения;</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увеличение показателя пагубного употребления наркотиков среди несовершеннолетних;</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уменьшение первичной заболеваемости пагубного употребления наркотиков среди всего населения;</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увеличение показателя пагубного употребления наркотиков среди несовершеннолетних. </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На текущие показатели оказывают влияние меры, предпринимаемые в медицинской сфере на нескольких уровнях:</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Законодательный и организационный уровень:</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оказание медицинской помощи в соответствии с Порядком оказания медицинской помощи по профилю «психиатрия-наркология»;</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установление и осуществление наблюдения </w:t>
      </w:r>
      <w:r>
        <w:rPr>
          <w:sz w:val="28"/>
          <w:szCs w:val="28"/>
        </w:rPr>
        <w:t xml:space="preserve">за больными с наркологическими расстройствами в соответствии с Порядком диспансерного наблюдения за лицами</w:t>
      </w:r>
      <w:r>
        <w:rPr>
          <w:sz w:val="28"/>
          <w:szCs w:val="28"/>
        </w:rPr>
        <w:t xml:space="preserve"> с психическими расстройствами и </w:t>
      </w:r>
      <w:r>
        <w:rPr>
          <w:sz w:val="28"/>
          <w:szCs w:val="28"/>
        </w:rPr>
        <w:t xml:space="preserve">(или) расстройствами поведения, связанными с употреблением психоактивных веществ.</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Ресурсно-технический уровень:</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увеличение объемов химико-токсикологических исследований;</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обеспечение контроля качества этих исследований.</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Кроме того, </w:t>
      </w:r>
      <w:r>
        <w:rPr>
          <w:sz w:val="28"/>
          <w:szCs w:val="28"/>
          <w:lang w:val="ru-RU"/>
        </w:rPr>
        <w:t xml:space="preserve">благодаря</w:t>
      </w:r>
      <w:r>
        <w:rPr>
          <w:sz w:val="28"/>
          <w:szCs w:val="28"/>
          <w:lang w:val="ru-RU"/>
        </w:rPr>
        <w:t xml:space="preserve"> функционировани</w:t>
      </w:r>
      <w:r>
        <w:rPr>
          <w:sz w:val="28"/>
          <w:szCs w:val="28"/>
          <w:lang w:val="ru-RU"/>
        </w:rPr>
        <w:t xml:space="preserve">ю</w:t>
      </w:r>
      <w:r>
        <w:rPr>
          <w:sz w:val="28"/>
          <w:szCs w:val="28"/>
          <w:lang w:val="ru-RU"/>
        </w:rPr>
        <w:t xml:space="preserve"> межведомственных взаимодействий, в том числе в связи с изменениями в законодательном поле, расшири</w:t>
      </w:r>
      <w:r>
        <w:rPr>
          <w:sz w:val="28"/>
          <w:szCs w:val="28"/>
          <w:lang w:val="ru-RU"/>
        </w:rPr>
        <w:t xml:space="preserve">лись</w:t>
      </w:r>
      <w:r>
        <w:rPr>
          <w:sz w:val="28"/>
          <w:szCs w:val="28"/>
          <w:lang w:val="ru-RU"/>
        </w:rPr>
        <w:t xml:space="preserve">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Так, в течение 2024 года обратились в связи с решением суд</w:t>
      </w:r>
      <w:r>
        <w:rPr>
          <w:sz w:val="28"/>
          <w:szCs w:val="28"/>
          <w:lang w:val="ru-RU"/>
        </w:rPr>
        <w:t xml:space="preserve">а о назначении обязательного или альтернативного лечения 87 человек с синдромом зависимости от наркотиков (АППГ – 105 чел.). Успешно закончивших такое лечение – 83 человека или 78,3 %, от числа прекративших обязательное или альтернативное лечение </w:t>
      </w:r>
      <w:r>
        <w:rPr>
          <w:sz w:val="28"/>
          <w:szCs w:val="28"/>
          <w:lang w:val="ru-RU"/>
        </w:rPr>
        <w:t xml:space="preserve">(</w:t>
      </w:r>
      <w:r>
        <w:rPr>
          <w:sz w:val="28"/>
          <w:szCs w:val="28"/>
          <w:lang w:val="ru-RU"/>
        </w:rPr>
        <w:t xml:space="preserve">106 чел</w:t>
      </w:r>
      <w:r>
        <w:rPr>
          <w:sz w:val="28"/>
          <w:szCs w:val="28"/>
          <w:lang w:val="ru-RU"/>
        </w:rPr>
        <w:t xml:space="preserve">овек</w:t>
      </w:r>
      <w:r>
        <w:rPr>
          <w:sz w:val="28"/>
          <w:szCs w:val="28"/>
          <w:lang w:val="ru-RU"/>
        </w:rPr>
        <w:t xml:space="preserve">)</w:t>
      </w:r>
      <w:r>
        <w:rPr>
          <w:sz w:val="28"/>
          <w:szCs w:val="28"/>
          <w:lang w:val="ru-RU"/>
        </w:rPr>
        <w:t xml:space="preserve">. В 2023 году – успешно завершили лечение 88 человек, или 72,7 % от числа окончивших лечение (абс. 121). </w:t>
      </w:r>
      <w:r>
        <w:rPr>
          <w:sz w:val="28"/>
          <w:szCs w:val="28"/>
          <w:lang w:val="ru-RU"/>
        </w:rPr>
        <w:t xml:space="preserve">Прервавших</w:t>
      </w:r>
      <w:r>
        <w:rPr>
          <w:sz w:val="28"/>
          <w:szCs w:val="28"/>
          <w:lang w:val="ru-RU"/>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r>
        <w:rPr>
          <w:sz w:val="28"/>
          <w:szCs w:val="28"/>
        </w:rPr>
      </w:r>
      <w:r>
        <w:rPr>
          <w:sz w:val="28"/>
          <w:szCs w:val="28"/>
        </w:rPr>
      </w:r>
    </w:p>
    <w:p>
      <w:pPr>
        <w:ind w:firstLine="709"/>
        <w:spacing w:line="276" w:lineRule="auto"/>
      </w:pPr>
      <w:r/>
      <w:r/>
    </w:p>
    <w:p>
      <w:pPr>
        <w:ind w:firstLine="709"/>
        <w:spacing w:line="276" w:lineRule="auto"/>
        <w:rPr>
          <w:b/>
          <w:i/>
        </w:rPr>
        <w:outlineLvl w:val="0"/>
      </w:pPr>
      <w:r>
        <w:rPr>
          <w:b/>
          <w:i/>
        </w:rPr>
        <w:t xml:space="preserve">Анализ </w:t>
      </w:r>
      <w:r>
        <w:rPr>
          <w:b/>
          <w:i/>
        </w:rPr>
        <w:t xml:space="preserve">ситуации по острым отравлениям и смертности от</w:t>
      </w:r>
      <w:r>
        <w:rPr>
          <w:b/>
          <w:i/>
        </w:rPr>
        <w:t xml:space="preserve"> </w:t>
      </w:r>
      <w:r>
        <w:rPr>
          <w:b/>
          <w:i/>
        </w:rPr>
        <w:t xml:space="preserve">потребления наркотиков, в том числе среди несовершеннолетних</w:t>
      </w:r>
      <w:r>
        <w:rPr>
          <w:b/>
          <w:i/>
        </w:rPr>
      </w:r>
      <w:r>
        <w:rPr>
          <w:b/>
          <w:i/>
        </w:rPr>
      </w:r>
    </w:p>
    <w:p>
      <w:pPr>
        <w:ind w:firstLine="709"/>
        <w:spacing w:line="276" w:lineRule="auto"/>
      </w:pPr>
      <w:r>
        <w:t xml:space="preserve">По данным казенного учреждения Ханты-Мансийского автономного</w:t>
      </w:r>
      <w:r>
        <w:t xml:space="preserve"> округа – Югры «Бюро судебно-медицинской экспертизы», зафиксировано 57 случаев смертельных отравлений от наркотических средств и психотропных веществ за 2024 год (3,2 на 100 </w:t>
      </w:r>
      <w:r>
        <w:t xml:space="preserve">тыс. </w:t>
      </w:r>
      <w:r>
        <w:t xml:space="preserve">населения), что меньше на 29 случаев, чем в 2023 году (86 случаев</w:t>
      </w:r>
      <w:r>
        <w:t xml:space="preserve"> или</w:t>
      </w:r>
      <w:r>
        <w:t xml:space="preserve"> 4,9 на 100 </w:t>
      </w:r>
      <w:r>
        <w:t xml:space="preserve">тыс. </w:t>
      </w:r>
      <w:r>
        <w:t xml:space="preserve">населения), уменьшение составило 34,7%.</w:t>
      </w:r>
      <w:r/>
    </w:p>
    <w:p>
      <w:pPr>
        <w:ind w:firstLine="709"/>
        <w:spacing w:line="276" w:lineRule="auto"/>
      </w:pPr>
      <w:r>
        <w:t xml:space="preserve">Количество смертельных отравлений от действия наркотических средств в 2024 году состав</w:t>
      </w:r>
      <w:r>
        <w:t xml:space="preserve">ило 55 случаев, из них 47 случаев отравлений наркотическими средствами опиоидной группы</w:t>
      </w:r>
      <w:r>
        <w:t xml:space="preserve"> (в 2023 году - 68)</w:t>
      </w:r>
      <w:r>
        <w:t xml:space="preserve">, в том числе метадоном (46 случаев, </w:t>
      </w:r>
      <w:r>
        <w:t xml:space="preserve">в 2023 году - 56</w:t>
      </w:r>
      <w:r>
        <w:t xml:space="preserve">) и другими опиоидами (1 случай, </w:t>
      </w:r>
      <w:r>
        <w:t xml:space="preserve">в 2023 году - 7</w:t>
      </w:r>
      <w:r>
        <w:t xml:space="preserve">), в их числе отравление кодеином, морфином и дезоморфином;</w:t>
      </w:r>
      <w:r>
        <w:t xml:space="preserve"> 8 случаев</w:t>
      </w:r>
      <w:r>
        <w:t xml:space="preserve"> (в 2023 году - 18)</w:t>
      </w:r>
      <w:r>
        <w:t xml:space="preserve"> – отравления прочими наркотиками, в их числе </w:t>
      </w:r>
      <w:r>
        <w:t xml:space="preserve">отравление другими синтетическими наркотиками (шифр по МКБ-10 T40.4). Смертельных отравлений от действия психотропных веществ в 2024 году – 2 случая</w:t>
      </w:r>
      <w:r>
        <w:t xml:space="preserve"> (в 2023 году - 0)</w:t>
      </w:r>
      <w:r>
        <w:t xml:space="preserve">.</w:t>
      </w:r>
      <w:r/>
    </w:p>
    <w:p>
      <w:pPr>
        <w:ind w:firstLine="709"/>
        <w:spacing w:line="276" w:lineRule="auto"/>
        <w:widowControl w:val="off"/>
      </w:pPr>
      <w:r>
        <w:t xml:space="preserve">Наибольшее число отравлений </w:t>
      </w:r>
      <w:r>
        <w:t xml:space="preserve">в</w:t>
      </w:r>
      <w:r>
        <w:t xml:space="preserve"> </w:t>
      </w:r>
      <w:r>
        <w:t xml:space="preserve">2024 год</w:t>
      </w:r>
      <w:r>
        <w:t xml:space="preserve">у</w:t>
      </w:r>
      <w:r>
        <w:t xml:space="preserve"> зафиксировано в </w:t>
      </w:r>
      <w:r>
        <w:t xml:space="preserve">Сургут</w:t>
      </w:r>
      <w:r>
        <w:t xml:space="preserve">е</w:t>
      </w:r>
      <w:r>
        <w:t xml:space="preserve"> (23 случая; АППГ – 43 случая, снижение на 46,</w:t>
      </w:r>
      <w:r>
        <w:t xml:space="preserve">5%), </w:t>
      </w:r>
      <w:r>
        <w:t xml:space="preserve">Нижневартовск</w:t>
      </w:r>
      <w:r>
        <w:t xml:space="preserve">е</w:t>
      </w:r>
      <w:r>
        <w:t xml:space="preserve"> (12 случаев; АППГ – 10 случаев, увеличение на 20,0%), </w:t>
      </w:r>
      <w:r>
        <w:t xml:space="preserve">в </w:t>
      </w:r>
      <w:r>
        <w:t xml:space="preserve">Сургутском районе (7 случаев; АППГ – 13 случаев,</w:t>
      </w:r>
      <w:r>
        <w:t xml:space="preserve"> снижение на 46,2%) и </w:t>
      </w:r>
      <w:r>
        <w:t xml:space="preserve"> Мегион</w:t>
      </w:r>
      <w:r>
        <w:t xml:space="preserve">е</w:t>
      </w:r>
      <w:r>
        <w:t xml:space="preserve"> (5 случаев; АППГ – 3 случая).</w:t>
      </w:r>
      <w:r/>
    </w:p>
    <w:p>
      <w:pPr>
        <w:ind w:firstLine="709"/>
        <w:spacing w:line="276" w:lineRule="auto"/>
        <w:widowControl w:val="off"/>
      </w:pPr>
      <w:r>
        <w:t xml:space="preserve">Среди лиц, умерших от отравлений наркотическими средствами и психотропными веществами соотношение по полу мужчин и женщин </w:t>
      </w:r>
      <w:r>
        <w:br/>
      </w:r>
      <w:r>
        <w:t xml:space="preserve">в</w:t>
      </w:r>
      <w:r>
        <w:t xml:space="preserve"> 2024 год</w:t>
      </w:r>
      <w:r>
        <w:t xml:space="preserve">у</w:t>
      </w:r>
      <w:r>
        <w:t xml:space="preserve"> составляет – 8,5:1, </w:t>
      </w:r>
      <w:r>
        <w:t xml:space="preserve">в </w:t>
      </w:r>
      <w:r>
        <w:t xml:space="preserve">2023 год</w:t>
      </w:r>
      <w:r>
        <w:t xml:space="preserve">у</w:t>
      </w:r>
      <w:r>
        <w:t xml:space="preserve"> – 5,1:1. </w:t>
      </w:r>
      <w:r>
        <w:t xml:space="preserve">В</w:t>
      </w:r>
      <w:r>
        <w:t xml:space="preserve"> 2024 год</w:t>
      </w:r>
      <w:r>
        <w:t xml:space="preserve">у</w:t>
      </w:r>
      <w:r>
        <w:t xml:space="preserve"> умерли от употребления наркотических и психотропных веществ 51 мужчина – 89,5 % и 6 женщин – 10,5 %. </w:t>
      </w:r>
      <w:r>
        <w:br/>
      </w:r>
      <w:r>
        <w:t xml:space="preserve">В</w:t>
      </w:r>
      <w:r>
        <w:t xml:space="preserve"> 2023 год</w:t>
      </w:r>
      <w:r>
        <w:t xml:space="preserve">у</w:t>
      </w:r>
      <w:r>
        <w:t xml:space="preserve"> умерли от употребления наркотических и психотропных веществ 72 мужчины – 83,7 % и 14 женщин – 16,3 %.</w:t>
      </w:r>
      <w:r/>
    </w:p>
    <w:p>
      <w:pPr>
        <w:ind w:firstLine="709"/>
        <w:spacing w:line="276" w:lineRule="auto"/>
        <w:widowControl w:val="off"/>
      </w:pPr>
      <w:r>
        <w:t xml:space="preserve">В</w:t>
      </w:r>
      <w:r>
        <w:t xml:space="preserve"> 2024 год</w:t>
      </w:r>
      <w:r>
        <w:t xml:space="preserve">у</w:t>
      </w:r>
      <w:r>
        <w:t xml:space="preserve"> случаев смертельных отравлений наркотическими средствами среди несовершеннолетних лиц по предварительным данным подсистемы «УСиР» не зарегистрировано</w:t>
      </w:r>
      <w:r>
        <w:t xml:space="preserve"> (в 2023 году - 4 случая)</w:t>
      </w:r>
      <w:r>
        <w:t xml:space="preserve">. </w:t>
      </w:r>
      <w:r/>
    </w:p>
    <w:p>
      <w:pPr>
        <w:ind w:firstLine="709"/>
        <w:spacing w:line="276" w:lineRule="auto"/>
        <w:widowControl w:val="off"/>
      </w:pPr>
      <w:r>
        <w:t xml:space="preserve">Средний возраст отравившихся наркотическими средствами и психотропными веществами </w:t>
      </w:r>
      <w:r>
        <w:t xml:space="preserve">в</w:t>
      </w:r>
      <w:r>
        <w:t xml:space="preserve"> 2024 год</w:t>
      </w:r>
      <w:r>
        <w:t xml:space="preserve">у</w:t>
      </w:r>
      <w:r>
        <w:t xml:space="preserve"> составляет 38,9±7,3 лет; за 12 месяцев 2023 года с</w:t>
      </w:r>
      <w:r>
        <w:t xml:space="preserve">-</w:t>
      </w:r>
      <w:r>
        <w:t xml:space="preserve"> 36,5±10,1 лет.</w:t>
      </w:r>
      <w:r/>
    </w:p>
    <w:p>
      <w:pPr>
        <w:ind w:firstLine="709"/>
        <w:spacing w:line="276" w:lineRule="auto"/>
        <w:widowControl w:val="off"/>
      </w:pPr>
      <w:r>
        <w:t xml:space="preserve">При сравнении сведений медицински</w:t>
      </w:r>
      <w:r>
        <w:t xml:space="preserve">х</w:t>
      </w:r>
      <w:r>
        <w:t xml:space="preserve"> информационны</w:t>
      </w:r>
      <w:r>
        <w:t xml:space="preserve">х </w:t>
      </w:r>
      <w:r>
        <w:t xml:space="preserve">систем медицинских организаций установлено, что 15 человек из числа </w:t>
      </w:r>
      <w:r>
        <w:t xml:space="preserve">отравившихся наркотическими веществами </w:t>
      </w:r>
      <w:r>
        <w:t xml:space="preserve">в</w:t>
      </w:r>
      <w:r>
        <w:t xml:space="preserve"> 2024 год</w:t>
      </w:r>
      <w:r>
        <w:t xml:space="preserve">у</w:t>
      </w:r>
      <w:r>
        <w:t xml:space="preserve"> (26,3 %) имели выявленное наркологическое расстройство в связи</w:t>
      </w:r>
      <w:r>
        <w:t xml:space="preserve">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- 13 человек имели выявленное наркологическое расстройство из 86 умерших (15,1 %). </w:t>
      </w:r>
      <w:r/>
    </w:p>
    <w:p>
      <w:pPr>
        <w:ind w:firstLine="709"/>
        <w:spacing w:line="276" w:lineRule="auto"/>
        <w:widowControl w:val="off"/>
      </w:pPr>
      <w:r>
        <w:t xml:space="preserve">По </w:t>
      </w:r>
      <w:r>
        <w:t xml:space="preserve">семейному положению: в 35 случаях погибшие </w:t>
      </w:r>
      <w:r>
        <w:t xml:space="preserve">в</w:t>
      </w:r>
      <w:r>
        <w:t xml:space="preserve"> 2024 год</w:t>
      </w:r>
      <w:r>
        <w:t xml:space="preserve">у</w:t>
      </w:r>
      <w:r>
        <w:t xml:space="preserve"> не состояли в браке (61,4 %), в 13 случаях – состояли в браке (22,8%), в отношении 9 человек – нет данных (15,8 %); </w:t>
      </w:r>
      <w:r>
        <w:t xml:space="preserve">в</w:t>
      </w:r>
      <w:r>
        <w:t xml:space="preserve"> 2023 год</w:t>
      </w:r>
      <w:r>
        <w:t xml:space="preserve">у</w:t>
      </w:r>
      <w:r>
        <w:t xml:space="preserve"> – 54 человека из 86 не состояли в браке (62,8 %).</w:t>
      </w:r>
      <w:r/>
    </w:p>
    <w:p>
      <w:pPr>
        <w:ind w:firstLine="709"/>
        <w:spacing w:line="276" w:lineRule="auto"/>
        <w:widowControl w:val="off"/>
      </w:pPr>
      <w:r>
        <w:t xml:space="preserve">По уровню образования: профессиональное среднее и общее среднее (полное) образование имели 23 и 14 погибших соответственно (40,4 % и 24,6 %), общее основно</w:t>
      </w:r>
      <w:r>
        <w:t xml:space="preserve">е – 8 человек (14,0%) и профессиональное высшее образование – 8 человек (14,0 %). </w:t>
      </w:r>
      <w:r>
        <w:t xml:space="preserve">В</w:t>
      </w:r>
      <w:r>
        <w:t xml:space="preserve"> 2023 год</w:t>
      </w:r>
      <w:r>
        <w:t xml:space="preserve">у</w:t>
      </w:r>
      <w:r>
        <w:t xml:space="preserve"> профессиональное среднее образование имелось у 31 человека (36,0 %); общее среднее (полное) у 29 человек (33,7 %) и общее основное – 13 чел. (15,1 %).</w:t>
      </w:r>
      <w:r/>
    </w:p>
    <w:p>
      <w:pPr>
        <w:ind w:firstLine="709"/>
        <w:spacing w:line="276" w:lineRule="auto"/>
        <w:widowControl w:val="off"/>
      </w:pPr>
      <w:r>
        <w:t xml:space="preserve">По трудовой занятости: 29 человек (50,9 %) – неработающие; 24 человека были заняты трудовой деятельностью</w:t>
      </w:r>
      <w:r>
        <w:t xml:space="preserve"> (42,1 %), в 4 случаях данные о трудовой деятельности отсутствуют (7,0 %). </w:t>
      </w:r>
      <w:r>
        <w:t xml:space="preserve">В</w:t>
      </w:r>
      <w:r>
        <w:t xml:space="preserve"> 2023 год</w:t>
      </w:r>
      <w:r>
        <w:t xml:space="preserve">у</w:t>
      </w:r>
      <w:r>
        <w:t xml:space="preserve"> 47 человек (54,7 %) – неработающие, 36 человек были заняты трудовой деятельностью (41,9 %), в 3-х случаях данные о трудовой деятельности отсутствуют (3,5 %).</w:t>
      </w:r>
      <w:r/>
    </w:p>
    <w:p>
      <w:pPr>
        <w:ind w:firstLine="709"/>
        <w:spacing w:line="276" w:lineRule="auto"/>
        <w:widowControl w:val="off"/>
      </w:pPr>
      <w:r>
        <w:t xml:space="preserve">В</w:t>
      </w:r>
      <w:r>
        <w:t xml:space="preserve"> 2024 год</w:t>
      </w:r>
      <w:r>
        <w:t xml:space="preserve">у</w:t>
      </w:r>
      <w:r>
        <w:t xml:space="preserve"> основными потребителями наркотиков опиоидной группы с летальным исходом (82,5 %) явля</w:t>
      </w:r>
      <w:r>
        <w:t xml:space="preserve">лись</w:t>
      </w:r>
      <w:r>
        <w:t xml:space="preserve"> мужчины (89,5 %)</w:t>
      </w:r>
      <w:r>
        <w:t xml:space="preserve">;</w:t>
      </w:r>
      <w:r>
        <w:t xml:space="preserve"> жители автономного округа (71,9 %)</w:t>
      </w:r>
      <w:r>
        <w:t xml:space="preserve">; граждане, не состоящие в браке (61,4%);</w:t>
      </w:r>
      <w:r>
        <w:t xml:space="preserve"> имеющие общее среднее (полное) или профессиональное среднее образование (64,9 %)</w:t>
      </w:r>
      <w:r>
        <w:t xml:space="preserve">;</w:t>
      </w:r>
      <w:r>
        <w:t xml:space="preserve"> не работающие (50,9 %)</w:t>
      </w:r>
      <w:r>
        <w:t xml:space="preserve">;</w:t>
      </w:r>
      <w:r>
        <w:t xml:space="preserve"> среднего возраста 38,9±7,3 лет; не имевшие ранее выявленное наркологическое расстройство в связи с употреблением наркотических средств (73,7 %). </w:t>
      </w:r>
      <w:r/>
    </w:p>
    <w:p>
      <w:pPr>
        <w:ind w:firstLine="709"/>
        <w:spacing w:line="276" w:lineRule="auto"/>
        <w:widowControl w:val="off"/>
      </w:pPr>
      <w:r/>
      <w:r/>
    </w:p>
    <w:p>
      <w:pPr>
        <w:ind w:firstLine="709"/>
        <w:spacing w:line="276" w:lineRule="auto"/>
        <w:rPr>
          <w:b/>
          <w:i/>
        </w:rPr>
        <w:outlineLvl w:val="0"/>
      </w:pPr>
      <w:r>
        <w:rPr>
          <w:b/>
          <w:i/>
        </w:rPr>
        <w:t xml:space="preserve">Анализ и оценка факторов, причин и условий, оказывающих влияние на наркотизацию населения автономного округа</w:t>
      </w:r>
      <w:r>
        <w:rPr>
          <w:b/>
          <w:i/>
        </w:rPr>
      </w:r>
      <w:r>
        <w:rPr>
          <w:b/>
          <w:i/>
        </w:rPr>
      </w:r>
    </w:p>
    <w:p>
      <w:pPr>
        <w:ind w:firstLine="709"/>
        <w:spacing w:line="276" w:lineRule="auto"/>
      </w:pPr>
      <w:r>
        <w:t xml:space="preserve">Основными факторами, влияющими на распространение наркомании и наркопреступности </w:t>
      </w:r>
      <w:r>
        <w:t xml:space="preserve">в</w:t>
      </w:r>
      <w:r>
        <w:t xml:space="preserve"> </w:t>
      </w:r>
      <w:r>
        <w:t xml:space="preserve">Ханты-Мансийском</w:t>
      </w:r>
      <w:r>
        <w:t xml:space="preserve"> автономном округе – Югре,</w:t>
      </w:r>
      <w:r>
        <w:t xml:space="preserve"> остаются:</w:t>
      </w:r>
      <w:r/>
    </w:p>
    <w:p>
      <w:pPr>
        <w:ind w:firstLine="709"/>
        <w:spacing w:line="276" w:lineRule="auto"/>
      </w:pPr>
      <w:r>
        <w:t xml:space="preserve">-</w:t>
      </w:r>
      <w:r>
        <w:t xml:space="preserve">в</w:t>
      </w:r>
      <w:r>
        <w:t xml:space="preserve">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r>
        <w:t xml:space="preserve">;</w:t>
      </w:r>
      <w:r/>
    </w:p>
    <w:p>
      <w:pPr>
        <w:ind w:firstLine="709"/>
        <w:spacing w:line="276" w:lineRule="auto"/>
      </w:pPr>
      <w:r>
        <w:t xml:space="preserve">-</w:t>
      </w:r>
      <w:r>
        <w:t xml:space="preserve">п</w:t>
      </w:r>
      <w:r>
        <w:t xml:space="preserve">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r>
        <w:t xml:space="preserve">;</w:t>
      </w:r>
      <w:r/>
    </w:p>
    <w:p>
      <w:pPr>
        <w:ind w:firstLine="709"/>
        <w:spacing w:line="276" w:lineRule="auto"/>
      </w:pPr>
      <w:r>
        <w:t xml:space="preserve">в</w:t>
      </w:r>
      <w:r>
        <w:t xml:space="preserve">ысокая доля городского населения (92,3 %)</w:t>
      </w:r>
      <w:r>
        <w:t xml:space="preserve">, </w:t>
      </w:r>
      <w:r>
        <w:t xml:space="preserve"> создает более благоприятные условия для наркоторговли и употребления психоактивных веществ в условиях относительной анонимности и доступности</w:t>
      </w:r>
      <w:r>
        <w:t xml:space="preserve">;</w:t>
      </w:r>
      <w:r/>
    </w:p>
    <w:p>
      <w:pPr>
        <w:ind w:firstLine="709"/>
        <w:spacing w:line="276" w:lineRule="auto"/>
      </w:pPr>
      <w:r>
        <w:t xml:space="preserve">р</w:t>
      </w:r>
      <w:r>
        <w:t xml:space="preserve">азвитая инфраструктура и транспортно-логистическая сеть. Наличие хорошо развитой инфраструктуры, включая автомобильные дороги и железнодорожные пути, облегчает транспортировку наркотиков и способствует их распространению, особенно в крупных городах округа.</w:t>
      </w:r>
      <w:r/>
    </w:p>
    <w:p>
      <w:pPr>
        <w:ind w:firstLine="709"/>
        <w:spacing w:line="276" w:lineRule="auto"/>
      </w:pPr>
      <w:r>
        <w:t xml:space="preserve">Эти факторы создают сложную среду, требующую комплексного и многоуровневого подхода к профилактике и борьбе с наркоманией и наркопреступностью, включая усиление контроля, профилактические мероприятия и повышение осведомленности населения.</w:t>
      </w:r>
      <w:r/>
    </w:p>
    <w:p>
      <w:pPr>
        <w:ind w:firstLine="709"/>
        <w:spacing w:line="276" w:lineRule="auto"/>
      </w:pPr>
      <w:r/>
      <w:r/>
    </w:p>
    <w:p>
      <w:pPr>
        <w:pStyle w:val="1661"/>
        <w:ind w:firstLine="709"/>
        <w:jc w:val="both"/>
        <w:spacing w:after="0" w:line="276" w:lineRule="auto"/>
        <w:rPr>
          <w:sz w:val="28"/>
          <w:szCs w:val="28"/>
        </w:rPr>
      </w:pPr>
      <w:r>
        <w:rPr>
          <w:sz w:val="28"/>
          <w:szCs w:val="28"/>
          <w:lang w:val="ru-RU"/>
        </w:rPr>
        <w:t xml:space="preserve">Наиболее значимый прирост первичной заболеваемости наркоманией отмечен в наиболее </w:t>
      </w:r>
      <w:r>
        <w:rPr>
          <w:sz w:val="28"/>
          <w:szCs w:val="28"/>
          <w:lang w:val="ru-RU"/>
        </w:rPr>
        <w:t xml:space="preserve">крупных муниципальных образованиях, являющихся транспортно-логистическими узлами в инфраструктуре автономного округа и обусловлен</w:t>
      </w:r>
      <w:r>
        <w:rPr>
          <w:sz w:val="28"/>
          <w:szCs w:val="28"/>
          <w:lang w:val="ru-RU"/>
        </w:rPr>
        <w:t xml:space="preserve">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r>
        <w:rPr>
          <w:sz w:val="28"/>
          <w:szCs w:val="28"/>
        </w:rPr>
      </w:r>
    </w:p>
    <w:p>
      <w:pPr>
        <w:ind w:firstLine="709"/>
        <w:spacing w:line="276" w:lineRule="auto"/>
      </w:pPr>
      <w:r>
        <w:t xml:space="preserve">Специалисты выделяют несколько ключевых мотивов, удерживающих людей от потребления наркотиков:</w:t>
      </w:r>
      <w:r/>
    </w:p>
    <w:p>
      <w:pPr>
        <w:ind w:firstLine="709"/>
        <w:spacing w:line="276" w:lineRule="auto"/>
      </w:pPr>
      <w:r>
        <w:t xml:space="preserve">о</w:t>
      </w:r>
      <w:r>
        <w:t xml:space="preserve">сознанное отрицательное отношение к потреблению наркотиков:</w:t>
      </w:r>
      <w:r>
        <w:t xml:space="preserve"> м</w:t>
      </w:r>
      <w:r>
        <w:t xml:space="preserve">ногие люди формируют стойкое негативное восприятие наркотиков, особенно синтетических, осознавая их тяжелые осложнения и последствия для здоровья</w:t>
      </w:r>
      <w:r>
        <w:t xml:space="preserve">;</w:t>
      </w:r>
      <w:r/>
    </w:p>
    <w:p>
      <w:pPr>
        <w:ind w:firstLine="709"/>
        <w:spacing w:line="276" w:lineRule="auto"/>
      </w:pPr>
      <w:r>
        <w:t xml:space="preserve">р</w:t>
      </w:r>
      <w:r>
        <w:t xml:space="preserve">иск ранней смерти:</w:t>
      </w:r>
      <w:r>
        <w:t xml:space="preserve"> п</w:t>
      </w:r>
      <w:r>
        <w:t xml:space="preserve">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r>
        <w:t xml:space="preserve">;</w:t>
      </w:r>
      <w:r/>
    </w:p>
    <w:p>
      <w:pPr>
        <w:ind w:firstLine="709"/>
        <w:spacing w:line="276" w:lineRule="auto"/>
      </w:pPr>
      <w:r>
        <w:t xml:space="preserve">о</w:t>
      </w:r>
      <w:r>
        <w:t xml:space="preserve">пасность инфицирования ВИЧ-инфекцией и вирусными гепатитами:</w:t>
      </w:r>
      <w:r>
        <w:t xml:space="preserve"> у</w:t>
      </w:r>
      <w:r>
        <w:t xml:space="preserve">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r>
        <w:t xml:space="preserve">;</w:t>
      </w:r>
      <w:r/>
    </w:p>
    <w:p>
      <w:pPr>
        <w:ind w:firstLine="709"/>
        <w:spacing w:line="276" w:lineRule="auto"/>
      </w:pPr>
      <w:r>
        <w:t xml:space="preserve">п</w:t>
      </w:r>
      <w:r>
        <w:t xml:space="preserve">отеря уважения близких:</w:t>
      </w:r>
      <w:r>
        <w:t xml:space="preserve"> м</w:t>
      </w:r>
      <w:r>
        <w:t xml:space="preserve">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r>
        <w:t xml:space="preserve">;</w:t>
      </w:r>
      <w:r/>
    </w:p>
    <w:p>
      <w:pPr>
        <w:ind w:firstLine="709"/>
        <w:spacing w:line="276" w:lineRule="auto"/>
      </w:pPr>
      <w:r>
        <w:t xml:space="preserve">б</w:t>
      </w:r>
      <w:r>
        <w:t xml:space="preserve">оязнь потерять семью:</w:t>
      </w:r>
      <w:r>
        <w:t xml:space="preserve"> о</w:t>
      </w:r>
      <w:r>
        <w:t xml:space="preserve">сознание того, что наркозависимость может разрушить семейные отношения и привести к потере семьи, служит </w:t>
      </w:r>
      <w:r>
        <w:t xml:space="preserve">сильным</w:t>
      </w:r>
      <w:r>
        <w:t xml:space="preserve"> мотиватором для отказа от употребления наркотиков. Люди боятся потерять своих близких и стремятся сохранить семейные узы.</w:t>
      </w:r>
      <w:r/>
    </w:p>
    <w:p>
      <w:pPr>
        <w:ind w:firstLine="709"/>
        <w:spacing w:line="276" w:lineRule="auto"/>
      </w:pPr>
      <w:r>
        <w:t xml:space="preserve">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r/>
    </w:p>
    <w:p>
      <w:pPr>
        <w:ind w:firstLine="709"/>
        <w:spacing w:line="276" w:lineRule="auto"/>
      </w:pPr>
      <w:r>
        <w:t xml:space="preserve">В настоящее время среди молодежи все больше приобретают актуальность позитивные социальные ценности, такие </w:t>
      </w:r>
      <w:r>
        <w:t xml:space="preserve">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r/>
    </w:p>
    <w:p>
      <w:pPr>
        <w:ind w:firstLine="709"/>
        <w:spacing w:line="276" w:lineRule="auto"/>
      </w:pPr>
      <w:r>
        <w:t xml:space="preserve">Основные направления методических материалов включают:</w:t>
      </w:r>
      <w:r/>
    </w:p>
    <w:p>
      <w:pPr>
        <w:ind w:firstLine="709"/>
        <w:spacing w:line="276" w:lineRule="auto"/>
      </w:pPr>
      <w:r>
        <w:t xml:space="preserve">п</w:t>
      </w:r>
      <w:r>
        <w:t xml:space="preserve">озитивные социальные ценности:</w:t>
      </w:r>
      <w:r>
        <w:t xml:space="preserve"> п</w:t>
      </w:r>
      <w:r>
        <w:t xml:space="preserve">одчеркивание важности образования и профессионального развития. Формирование стремления к достижению высоких квалификаций и успешной карьеры</w:t>
      </w:r>
      <w:r>
        <w:t xml:space="preserve">;</w:t>
      </w:r>
      <w:r/>
    </w:p>
    <w:p>
      <w:pPr>
        <w:ind w:firstLine="709"/>
        <w:spacing w:line="276" w:lineRule="auto"/>
      </w:pPr>
      <w:r>
        <w:t xml:space="preserve">л</w:t>
      </w:r>
      <w:r>
        <w:t xml:space="preserve">ичностная реализация:</w:t>
      </w:r>
      <w:r>
        <w:t xml:space="preserve"> в</w:t>
      </w:r>
      <w:r>
        <w:t xml:space="preserve">нимание уделяется тому, что при администрати</w:t>
      </w:r>
      <w:r>
        <w:t xml:space="preserve">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r>
        <w:t xml:space="preserve">;</w:t>
      </w:r>
      <w:r/>
    </w:p>
    <w:p>
      <w:pPr>
        <w:ind w:firstLine="709"/>
        <w:spacing w:line="276" w:lineRule="auto"/>
      </w:pPr>
      <w:r>
        <w:t xml:space="preserve">о</w:t>
      </w:r>
      <w:r>
        <w:t xml:space="preserve">бщественное понимание и поддержка:</w:t>
      </w:r>
      <w:r>
        <w:t xml:space="preserve"> р</w:t>
      </w:r>
      <w:r>
        <w:t xml:space="preserve">астет осознание того, что наркозависимость не только вредит здоровью, но и имеет серьезные социальные последствия, включая потерю уважения и поддержки </w:t>
      </w:r>
      <w:r>
        <w:t xml:space="preserve">близких</w:t>
      </w:r>
      <w:r>
        <w:t xml:space="preserve">, а также разрушение карьеры. Поддержка со стороны общества в стремлении молодежи к здоровому образу жизни и достижению своих целей</w:t>
      </w:r>
      <w:r>
        <w:t xml:space="preserve">;</w:t>
      </w:r>
      <w:r/>
    </w:p>
    <w:p>
      <w:pPr>
        <w:ind w:firstLine="709"/>
        <w:spacing w:line="276" w:lineRule="auto"/>
      </w:pPr>
      <w:r>
        <w:t xml:space="preserve">Эти подходы помогают формировать у молодых людей устойчивое негативное отношение к на</w:t>
      </w:r>
      <w:r>
        <w:t xml:space="preserve">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r/>
    </w:p>
    <w:p>
      <w:pPr>
        <w:ind w:firstLine="709"/>
        <w:spacing w:line="276" w:lineRule="auto"/>
      </w:pPr>
      <w:r>
        <w:t xml:space="preserve">Основным и преимущественным местом распространения наркотиков в настоящее время является сеть Интернет, в </w:t>
      </w:r>
      <w:r>
        <w:t xml:space="preserve">ч</w:t>
      </w:r>
      <w:r>
        <w:t xml:space="preserve">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w:t>
        <w:br/>
        <w:t xml:space="preserve">Ханты-Мансийского автономного округа – Югры, особенно среди молодежи в возрастной группе 18-39 лет.</w:t>
      </w:r>
      <w:r/>
    </w:p>
    <w:p>
      <w:pPr>
        <w:ind w:firstLine="709"/>
        <w:spacing w:line="276" w:lineRule="auto"/>
      </w:pPr>
      <w:r>
        <w:t xml:space="preserve">Актуальные, из известных, способы распространения наркотических средств включают:</w:t>
      </w:r>
      <w:r/>
    </w:p>
    <w:p>
      <w:pPr>
        <w:ind w:firstLine="709"/>
        <w:spacing w:line="276" w:lineRule="auto"/>
        <w:tabs>
          <w:tab w:val="left" w:pos="4515" w:leader="none"/>
        </w:tabs>
      </w:pPr>
      <w:r>
        <w:t xml:space="preserve">м</w:t>
      </w:r>
      <w:r>
        <w:t xml:space="preserve">етод «закладок»:</w:t>
      </w:r>
      <w:r>
        <w:t xml:space="preserve"> н</w:t>
      </w:r>
      <w:r>
        <w:t xml:space="preserve">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r>
        <w:t xml:space="preserve">;</w:t>
      </w:r>
      <w:r/>
    </w:p>
    <w:p>
      <w:pPr>
        <w:ind w:firstLine="709"/>
        <w:spacing w:line="276" w:lineRule="auto"/>
      </w:pPr>
      <w:r>
        <w:t xml:space="preserve">и</w:t>
      </w:r>
      <w:r>
        <w:t xml:space="preserve">нтернет-площадки</w:t>
      </w:r>
      <w:r>
        <w:t xml:space="preserve">:</w:t>
      </w:r>
      <w:r>
        <w:t xml:space="preserve"> п</w:t>
      </w:r>
      <w:r>
        <w:t xml:space="preserve">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психоактивных веществ, что делает их привлекательными для потребителей</w:t>
      </w:r>
      <w:r>
        <w:t xml:space="preserve">;</w:t>
      </w:r>
      <w:r/>
    </w:p>
    <w:p>
      <w:pPr>
        <w:ind w:firstLine="709"/>
        <w:spacing w:line="276" w:lineRule="auto"/>
      </w:pPr>
      <w:r>
        <w:t xml:space="preserve">Дополнительно на распространение наркотических средств и психотропных веще</w:t>
      </w:r>
      <w:r>
        <w:t xml:space="preserve">ств вл</w:t>
      </w:r>
      <w:r>
        <w:t xml:space="preserve">ияет учебная и трудовая миграция населения в населенные</w:t>
      </w:r>
      <w:r>
        <w:t xml:space="preserve"> пункты. Это связано с тем, что студенты, приезжающие в новые города для учебы, могут быть особенно уязвимы к предложениям о наркотиках, особенно если они находятся вдали от дома и испытывают стресс от адаптации. Люди, переезжающие в поисках работы, могут </w:t>
      </w:r>
      <w:r>
        <w:t xml:space="preserve">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r/>
    </w:p>
    <w:p>
      <w:pPr>
        <w:ind w:firstLine="709"/>
        <w:spacing w:line="276" w:lineRule="auto"/>
      </w:pPr>
      <w:r>
        <w:t xml:space="preserve">Эти факторы создают сложную обстановку, требующую комплексного подхода к профилактике и борьбе с наркоманией, включая усиление контроля за </w:t>
      </w:r>
      <w:r>
        <w:t xml:space="preserve">интернет-пространством</w:t>
      </w:r>
      <w:r>
        <w:t xml:space="preserve">, проведение профилактических мероприятий среди молодежи и мигрантов, а также повышение осведомленности о последствиях употребления наркотиков.</w:t>
      </w:r>
      <w:r/>
    </w:p>
    <w:p>
      <w:pPr>
        <w:ind w:firstLine="709"/>
        <w:spacing w:line="276" w:lineRule="auto"/>
      </w:pPr>
      <w:r>
        <w:t xml:space="preserve">Основным и преимущественным местом </w:t>
      </w:r>
      <w:r>
        <w:t xml:space="preserve">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r/>
    </w:p>
    <w:p>
      <w:pPr>
        <w:ind w:firstLine="709"/>
        <w:spacing w:line="276" w:lineRule="auto"/>
      </w:pPr>
      <w:r>
        <w:t xml:space="preserve">Сохраняется </w:t>
      </w:r>
      <w:r>
        <w:t xml:space="preserve">актуальной</w:t>
      </w:r>
      <w:r>
        <w:t xml:space="preserve"> ситуация по преимущественному распространению наркотических средств путем «закладок»</w:t>
      </w:r>
      <w:r>
        <w:t xml:space="preserve">.</w:t>
      </w:r>
      <w:r/>
    </w:p>
    <w:p>
      <w:pPr>
        <w:pStyle w:val="1661"/>
        <w:ind w:firstLine="709"/>
        <w:jc w:val="both"/>
        <w:spacing w:after="0" w:line="276" w:lineRule="auto"/>
        <w:rPr>
          <w:sz w:val="28"/>
          <w:szCs w:val="28"/>
          <w:highlight w:val="white"/>
        </w:rPr>
      </w:pPr>
      <w:r>
        <w:rPr>
          <w:highlight w:val="white"/>
        </w:rPr>
      </w:r>
      <w:r>
        <w:rPr>
          <w:sz w:val="28"/>
          <w:szCs w:val="28"/>
          <w:lang w:val="ru-RU"/>
        </w:rPr>
        <w:t xml:space="preserve">Данная</w:t>
      </w:r>
      <w:r>
        <w:rPr>
          <w:sz w:val="28"/>
          <w:szCs w:val="28"/>
        </w:rPr>
        <w:t xml:space="preserve"> динамика объясняется как ростом числа обращений за</w:t>
      </w:r>
      <w:r>
        <w:rPr>
          <w:sz w:val="28"/>
          <w:szCs w:val="28"/>
        </w:rPr>
        <w:t xml:space="preserve">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w:t>
      </w:r>
      <w:r>
        <w:rPr>
          <w:sz w:val="28"/>
          <w:szCs w:val="28"/>
          <w:lang w:val="ru-RU"/>
        </w:rPr>
        <w:t xml:space="preserve"> Р</w:t>
      </w:r>
      <w:r>
        <w:rPr>
          <w:sz w:val="28"/>
          <w:szCs w:val="28"/>
        </w:rPr>
        <w:t xml:space="preserve">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highlight w:val="white"/>
        </w:rPr>
      </w:r>
      <w:r>
        <w:rPr>
          <w:sz w:val="28"/>
          <w:szCs w:val="28"/>
          <w:highlight w:val="white"/>
        </w:rPr>
      </w:r>
    </w:p>
    <w:p>
      <w:pPr>
        <w:pStyle w:val="1661"/>
        <w:ind w:firstLine="709"/>
        <w:jc w:val="both"/>
        <w:spacing w:after="0" w:line="276" w:lineRule="auto"/>
        <w:rPr>
          <w:sz w:val="28"/>
          <w:szCs w:val="28"/>
        </w:rPr>
      </w:pPr>
      <w:r>
        <w:rPr>
          <w:sz w:val="28"/>
          <w:szCs w:val="28"/>
          <w:lang w:val="ru-RU"/>
        </w:rPr>
        <w:t xml:space="preserve">медицинские профилактические</w:t>
      </w:r>
      <w:r>
        <w:rPr>
          <w:sz w:val="28"/>
          <w:szCs w:val="28"/>
        </w:rPr>
        <w:t xml:space="preserve"> осмотры </w:t>
      </w:r>
      <w:r>
        <w:rPr>
          <w:sz w:val="28"/>
          <w:szCs w:val="28"/>
          <w:lang w:val="ru-RU"/>
        </w:rPr>
        <w:t xml:space="preserve">обучающихся</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Эти меры способствуют созданию среды, в которой раннее выявление и предотвращение наркопотребления становятся более эффективными.</w:t>
      </w:r>
      <w:r>
        <w:rPr>
          <w:sz w:val="28"/>
          <w:szCs w:val="28"/>
        </w:rPr>
      </w:r>
      <w:r>
        <w:rPr>
          <w:sz w:val="28"/>
          <w:szCs w:val="28"/>
        </w:rPr>
      </w:r>
    </w:p>
    <w:p>
      <w:pPr>
        <w:ind w:firstLine="709"/>
        <w:spacing w:line="276" w:lineRule="auto"/>
      </w:pPr>
      <w:r/>
      <w:r/>
    </w:p>
    <w:p>
      <w:pPr>
        <w:pStyle w:val="1661"/>
        <w:ind w:firstLine="709"/>
        <w:jc w:val="both"/>
        <w:spacing w:after="0" w:line="276" w:lineRule="auto"/>
        <w:rPr>
          <w:b/>
          <w:i/>
          <w:sz w:val="28"/>
          <w:szCs w:val="28"/>
          <w:lang w:val="ru-RU"/>
        </w:rPr>
      </w:pPr>
      <w:r>
        <w:rPr>
          <w:b/>
          <w:i/>
          <w:sz w:val="28"/>
          <w:szCs w:val="28"/>
          <w:lang w:val="ru-RU"/>
        </w:rPr>
        <w:t xml:space="preserve">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r>
        <w:rPr>
          <w:b/>
          <w:i/>
          <w:sz w:val="28"/>
          <w:szCs w:val="28"/>
          <w:lang w:val="ru-RU"/>
        </w:rPr>
      </w:r>
      <w:r>
        <w:rPr>
          <w:b/>
          <w:i/>
          <w:sz w:val="28"/>
          <w:szCs w:val="28"/>
          <w:lang w:val="ru-RU"/>
        </w:rPr>
      </w:r>
    </w:p>
    <w:p>
      <w:pPr>
        <w:pStyle w:val="1661"/>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 с наркоманией) в Ханты-Мансийском автономном округе – Югре снизилась, в 2024 г</w:t>
      </w:r>
      <w:r>
        <w:rPr>
          <w:sz w:val="28"/>
          <w:szCs w:val="28"/>
          <w:lang w:val="ru-RU"/>
        </w:rPr>
        <w:t xml:space="preserve">оду </w:t>
      </w:r>
      <w:r>
        <w:rPr>
          <w:sz w:val="28"/>
          <w:szCs w:val="28"/>
        </w:rPr>
        <w:t xml:space="preserve">показатель составил 92,9 на</w:t>
      </w:r>
      <w:r>
        <w:rPr>
          <w:sz w:val="28"/>
          <w:szCs w:val="28"/>
        </w:rPr>
        <w:t xml:space="preserve"> 100 </w:t>
      </w:r>
      <w:r>
        <w:rPr>
          <w:sz w:val="28"/>
          <w:szCs w:val="28"/>
        </w:rPr>
        <w:t xml:space="preserve">тыс. </w:t>
      </w:r>
      <w:r>
        <w:rPr>
          <w:sz w:val="28"/>
          <w:szCs w:val="28"/>
        </w:rPr>
        <w:t xml:space="preserve">населения (абс. 1634), в 2023 году 96,6 на 100 </w:t>
      </w:r>
      <w:r>
        <w:rPr>
          <w:sz w:val="28"/>
          <w:szCs w:val="28"/>
        </w:rPr>
        <w:t xml:space="preserve">тыс. </w:t>
      </w:r>
      <w:r>
        <w:rPr>
          <w:sz w:val="28"/>
          <w:szCs w:val="28"/>
        </w:rPr>
        <w:t xml:space="preserve">населения (абс. 1686), снижение составило 3,8 %.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Для сравнения, показатель болезненности наркоманией в Российской Федерации за 2022 год составляет 157,8 на 100 </w:t>
      </w:r>
      <w:r>
        <w:rPr>
          <w:sz w:val="28"/>
          <w:szCs w:val="28"/>
        </w:rPr>
        <w:t xml:space="preserve">тыс. </w:t>
      </w:r>
      <w:r>
        <w:rPr>
          <w:sz w:val="28"/>
          <w:szCs w:val="28"/>
        </w:rPr>
        <w:t xml:space="preserve">населения, по Уральскому Федеральному округу в 2022 году – 168,0 на 100 </w:t>
      </w:r>
      <w:r>
        <w:rPr>
          <w:sz w:val="28"/>
          <w:szCs w:val="28"/>
        </w:rPr>
        <w:t xml:space="preserve">тыс. </w:t>
      </w:r>
      <w:r>
        <w:rPr>
          <w:sz w:val="28"/>
          <w:szCs w:val="28"/>
        </w:rPr>
        <w:t xml:space="preserve">населения.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болезненности 58,0 % наркозависимых лиц имеют ди</w:t>
      </w:r>
      <w:r>
        <w:rPr>
          <w:sz w:val="28"/>
          <w:szCs w:val="28"/>
        </w:rPr>
        <w:t xml:space="preserve">агноз полинаркомании (потребление других наркотиков и их сочетаний) (2023 г. – 55,2 %), 25,5 % - зависимость от употребления опиоидов (2023 г.- 28,5 %), 10,1 % - с зависимостью от других психостимуляторов и 6,5 % - с зависимостью от каннабиноидов (в 2023 г</w:t>
      </w:r>
      <w:r>
        <w:rPr>
          <w:sz w:val="28"/>
          <w:szCs w:val="28"/>
          <w:lang w:val="ru-RU"/>
        </w:rPr>
        <w:t xml:space="preserve">.</w:t>
      </w:r>
      <w:r>
        <w:rPr>
          <w:sz w:val="28"/>
          <w:szCs w:val="28"/>
        </w:rPr>
        <w:t xml:space="preserve"> – 9,6 % и 6,7 % соответственно).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Соотношение лиц, зар</w:t>
      </w:r>
      <w:r>
        <w:rPr>
          <w:sz w:val="28"/>
          <w:szCs w:val="28"/>
        </w:rPr>
        <w:t xml:space="preserve">егистрированных с «синдромом зависимости от наркотиков», по полу составило в 2024 году М : Ж = 4,9 : 1, в процентном соотношении 83,0 % - мужчин и 17,0 % - женщин, аналогично 2023 году. Данная динамика показывает сохранение доли женщин, зарегистрированных </w:t>
      </w:r>
      <w:r>
        <w:rPr>
          <w:sz w:val="28"/>
          <w:szCs w:val="28"/>
        </w:rPr>
        <w:t xml:space="preserve">с наркоманией на фоне общего снижения числа зарегистрированных лиц с наркоманией.</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Превалирующая возрастная группа среди зарегистрированных наркозависимых лиц – в возрасте 20-39 лет 67,6 % (в 2023 году – 69,2 %), однако наблюдается тренд на «старение» зарегистрированных потребителей наркотиков с синдром зависимости.</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w:t>
      </w:r>
      <w:r>
        <w:rPr>
          <w:sz w:val="28"/>
          <w:szCs w:val="28"/>
        </w:rPr>
        <w:t xml:space="preserve">тыс. </w:t>
      </w:r>
      <w:r>
        <w:rPr>
          <w:sz w:val="28"/>
          <w:szCs w:val="28"/>
        </w:rPr>
        <w:t xml:space="preserve">населения (абс. 338). Ежегодно данный показатель снижался, и в 2022 году достиг минимума - 3,7 на 100 </w:t>
      </w:r>
      <w:r>
        <w:rPr>
          <w:sz w:val="28"/>
          <w:szCs w:val="28"/>
        </w:rPr>
        <w:t xml:space="preserve">тыс. </w:t>
      </w:r>
      <w:r>
        <w:rPr>
          <w:sz w:val="28"/>
          <w:szCs w:val="28"/>
        </w:rPr>
        <w:t xml:space="preserve">населения (абс. 64). С 2023 года зарегистрированный уровень первичной заболеваемости наркоманией (4,5 на 100 </w:t>
      </w:r>
      <w:r>
        <w:rPr>
          <w:sz w:val="28"/>
          <w:szCs w:val="28"/>
        </w:rPr>
        <w:t xml:space="preserve">тыс. </w:t>
      </w:r>
      <w:r>
        <w:rPr>
          <w:sz w:val="28"/>
          <w:szCs w:val="28"/>
        </w:rPr>
        <w:t xml:space="preserve">населения, абс. 78) сменил тренд на прирост и в 2024 году составил 5,2 на 100 </w:t>
      </w:r>
      <w:r>
        <w:rPr>
          <w:sz w:val="28"/>
          <w:szCs w:val="28"/>
        </w:rPr>
        <w:t xml:space="preserve">тыс. </w:t>
      </w:r>
      <w:r>
        <w:rPr>
          <w:sz w:val="28"/>
          <w:szCs w:val="28"/>
        </w:rPr>
        <w:t xml:space="preserve">населения (абс. 91).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целом, уровень первичной заболеваемости наркоманией в Югре в 2,7 раза ниже, чем в Уральском Федеральном округе (в 2022 году – 13,9 на 100 </w:t>
      </w:r>
      <w:r>
        <w:rPr>
          <w:sz w:val="28"/>
          <w:szCs w:val="28"/>
        </w:rPr>
        <w:t xml:space="preserve">тыс. </w:t>
      </w:r>
      <w:r>
        <w:rPr>
          <w:sz w:val="28"/>
          <w:szCs w:val="28"/>
        </w:rPr>
        <w:t xml:space="preserve">населения) и в 1,8 раза ниже среднего уровня по Российской Федерации (в 2022 году – 9,6 на 100 </w:t>
      </w:r>
      <w:r>
        <w:rPr>
          <w:sz w:val="28"/>
          <w:szCs w:val="28"/>
        </w:rPr>
        <w:t xml:space="preserve">тыс. </w:t>
      </w:r>
      <w:r>
        <w:rPr>
          <w:sz w:val="28"/>
          <w:szCs w:val="28"/>
        </w:rPr>
        <w:t xml:space="preserve">населения).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Из общего числа впервые заболевших н</w:t>
      </w:r>
      <w:r>
        <w:rPr>
          <w:sz w:val="28"/>
          <w:szCs w:val="28"/>
        </w:rPr>
        <w:t xml:space="preserve">аркоманией в 2024 году у 71,4 % больных установлен диагноз «полинаркомания» (2023 г. – 79,5%); «</w:t>
      </w:r>
      <w:r>
        <w:rPr>
          <w:sz w:val="28"/>
          <w:szCs w:val="28"/>
        </w:rPr>
        <w:t xml:space="preserve">з</w:t>
      </w:r>
      <w:r>
        <w:rPr>
          <w:sz w:val="28"/>
          <w:szCs w:val="28"/>
        </w:rPr>
        <w:t xml:space="preserve">ависимость от психостимуляторов» – 18,7 % (2023 г. – 11,5%); «зависимость от каннабиноидов» – 5,5 % (2023 г. – 6,4%); диагноз «зависимость от опиатов» (героин,</w:t>
      </w:r>
      <w:r>
        <w:rPr>
          <w:color w:val="0000ff"/>
          <w:sz w:val="28"/>
          <w:szCs w:val="28"/>
        </w:rPr>
        <w:t xml:space="preserve"> </w:t>
      </w:r>
      <w:r>
        <w:rPr>
          <w:sz w:val="28"/>
          <w:szCs w:val="28"/>
        </w:rPr>
        <w:t xml:space="preserve">морфин, дезоморфин) – 4,4 % случаев (2023 г. – 2,6%).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Соотношение лиц, зарегистрированных впервые в жизни с «синдромом зависимости от наркотиков», по полу составило в 2024 году М : Ж = 3,1 : 1, в процентном соотношении 75,8 % - мужчин и 24,2 % - женщин. В 2023 году соот</w:t>
      </w:r>
      <w:r>
        <w:rPr>
          <w:sz w:val="28"/>
          <w:szCs w:val="28"/>
        </w:rPr>
        <w:t xml:space="preserve">ношение М : Ж =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первичной заболеваемости наркоманией за 2024 год, также как в 2023 году несовершеннолетних зарегистрировано не было.</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Превалирующая возрастная группа среди зарегистрированных впервые в жизни наркозависимых лиц – в возрасте 20-39 лет 71,4 % (в 2023 году – 75,6 %), с увеличением доли лиц в возрасте 40-59 лет до 27,5% (в 2023 году – 23,1%).</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Количество лиц, зарегистрир</w:t>
      </w:r>
      <w:r>
        <w:rPr>
          <w:sz w:val="28"/>
          <w:szCs w:val="28"/>
        </w:rPr>
        <w:t xml:space="preserve">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w:t>
      </w:r>
      <w:r>
        <w:rPr>
          <w:sz w:val="28"/>
          <w:szCs w:val="28"/>
        </w:rPr>
        <w:t xml:space="preserve">тыс. </w:t>
      </w:r>
      <w:r>
        <w:rPr>
          <w:sz w:val="28"/>
          <w:szCs w:val="28"/>
        </w:rPr>
        <w:t xml:space="preserve">населения. В 2023 году их число составляло 912 человек, или 52,3 на 100 тыс. населения. Уменьшен</w:t>
      </w:r>
      <w:r>
        <w:rPr>
          <w:sz w:val="28"/>
          <w:szCs w:val="28"/>
        </w:rPr>
        <w:t xml:space="preserve">ие составило 8,4 %.</w:t>
      </w:r>
      <w:r>
        <w:rPr>
          <w:sz w:val="28"/>
          <w:szCs w:val="28"/>
          <w:lang w:val="ru-RU"/>
        </w:rPr>
        <w:t xml:space="preserve"> </w:t>
      </w:r>
      <w:r>
        <w:rPr>
          <w:sz w:val="28"/>
          <w:szCs w:val="28"/>
        </w:rPr>
        <w:t xml:space="preserve">Распространенность пагубного употребления наркотиков в целом по ХМАО</w:t>
      </w:r>
      <w:r>
        <w:rPr>
          <w:sz w:val="28"/>
          <w:szCs w:val="28"/>
          <w:lang w:val="ru-RU"/>
        </w:rPr>
        <w:t xml:space="preserve">-</w:t>
      </w:r>
      <w:r>
        <w:rPr>
          <w:sz w:val="28"/>
          <w:szCs w:val="28"/>
        </w:rPr>
        <w:t xml:space="preserve">Югре ниже, чем в РФ в 2,3 раза (111,2 на 100 </w:t>
      </w:r>
      <w:r>
        <w:rPr>
          <w:sz w:val="28"/>
          <w:szCs w:val="28"/>
        </w:rPr>
        <w:t xml:space="preserve">тыс. </w:t>
      </w:r>
      <w:r>
        <w:rPr>
          <w:sz w:val="28"/>
          <w:szCs w:val="28"/>
        </w:rPr>
        <w:t xml:space="preserve">населения в 2022 г</w:t>
      </w:r>
      <w:r>
        <w:rPr>
          <w:sz w:val="28"/>
          <w:szCs w:val="28"/>
          <w:lang w:val="ru-RU"/>
        </w:rPr>
        <w:t xml:space="preserve">.</w:t>
      </w:r>
      <w:r>
        <w:rPr>
          <w:sz w:val="28"/>
          <w:szCs w:val="28"/>
        </w:rPr>
        <w:t xml:space="preserve">), и ниже в 2,0 раза, чем в УрФО (98,5 на 100 </w:t>
      </w:r>
      <w:r>
        <w:rPr>
          <w:sz w:val="28"/>
          <w:szCs w:val="28"/>
        </w:rPr>
        <w:t xml:space="preserve">тыс. </w:t>
      </w:r>
      <w:r>
        <w:rPr>
          <w:sz w:val="28"/>
          <w:szCs w:val="28"/>
        </w:rPr>
        <w:t xml:space="preserve">населения в 2022 г</w:t>
      </w:r>
      <w:r>
        <w:rPr>
          <w:sz w:val="28"/>
          <w:szCs w:val="28"/>
          <w:lang w:val="ru-RU"/>
        </w:rPr>
        <w:t xml:space="preserve">.</w:t>
      </w:r>
      <w:r>
        <w:rPr>
          <w:sz w:val="28"/>
          <w:szCs w:val="28"/>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Общая распространенность пагубного употребления наркотиков среди несовершеннолетних в 2024 году составила 4,6 на 100 </w:t>
      </w:r>
      <w:r>
        <w:rPr>
          <w:sz w:val="28"/>
          <w:szCs w:val="28"/>
        </w:rPr>
        <w:t xml:space="preserve">тыс. </w:t>
      </w:r>
      <w:r>
        <w:rPr>
          <w:sz w:val="28"/>
          <w:szCs w:val="28"/>
        </w:rPr>
        <w:t xml:space="preserve">несовершеннолетних (абс. 20), что на 17,9 % выше, чем в 2023 году – 3,9 на 100 </w:t>
      </w:r>
      <w:r>
        <w:rPr>
          <w:sz w:val="28"/>
          <w:szCs w:val="28"/>
        </w:rPr>
        <w:t xml:space="preserve">тыс. </w:t>
      </w:r>
      <w:r>
        <w:rPr>
          <w:sz w:val="28"/>
          <w:szCs w:val="28"/>
        </w:rPr>
        <w:t xml:space="preserve">несовершеннолетних, или 17 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Уровень первичной заболеваемости пагубного уп</w:t>
      </w:r>
      <w:r>
        <w:rPr>
          <w:sz w:val="28"/>
          <w:szCs w:val="28"/>
        </w:rPr>
        <w:t xml:space="preserve">отребления наркотиков без синдрома зависимости в автономном округе в 2024 году составил 5,2 на 100 тыс. населения, или 91 новый случай, что на 30,7 % ниже, чем в 2023 году, когда было выявлено 130 новых случаев, или 7,5 на 100 тыс. населения. Для сравнения</w:t>
      </w:r>
      <w:r>
        <w:rPr>
          <w:sz w:val="28"/>
          <w:szCs w:val="28"/>
          <w:lang w:val="ru-RU"/>
        </w:rPr>
        <w:t xml:space="preserve">,</w:t>
      </w:r>
      <w:r>
        <w:rPr>
          <w:sz w:val="28"/>
          <w:szCs w:val="28"/>
        </w:rPr>
        <w:t xml:space="preserve"> в Уральском Федеральном округе показатель за 2022 год составил 16,2 на 100 </w:t>
      </w:r>
      <w:r>
        <w:rPr>
          <w:sz w:val="28"/>
          <w:szCs w:val="28"/>
        </w:rPr>
        <w:t xml:space="preserve">тыс. </w:t>
      </w:r>
      <w:r>
        <w:rPr>
          <w:sz w:val="28"/>
          <w:szCs w:val="28"/>
        </w:rPr>
        <w:t xml:space="preserve">населения, по Российской Федерации – 14,9 на 100 </w:t>
      </w:r>
      <w:r>
        <w:rPr>
          <w:sz w:val="28"/>
          <w:szCs w:val="28"/>
        </w:rPr>
        <w:t xml:space="preserve">тыс. </w:t>
      </w:r>
      <w:r>
        <w:rPr>
          <w:sz w:val="28"/>
          <w:szCs w:val="28"/>
        </w:rPr>
        <w:t xml:space="preserve">населения.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первичной заболеваемости </w:t>
      </w:r>
      <w:r>
        <w:rPr>
          <w:color w:val="000000"/>
          <w:sz w:val="28"/>
          <w:szCs w:val="28"/>
        </w:rPr>
        <w:t xml:space="preserve">пагубного употребления наркотиков</w:t>
      </w:r>
      <w:r>
        <w:rPr>
          <w:sz w:val="28"/>
          <w:szCs w:val="28"/>
        </w:rPr>
        <w:t xml:space="preserve"> за 2024 год было зарегистрировано 12 несовершеннолетних пациентов (АППГ – 7), один ребенок в возрасте до 14 лет в г. Радужн</w:t>
      </w:r>
      <w:r>
        <w:rPr>
          <w:sz w:val="28"/>
          <w:szCs w:val="28"/>
          <w:lang w:val="ru-RU"/>
        </w:rPr>
        <w:t xml:space="preserve">ый</w:t>
      </w:r>
      <w:r>
        <w:rPr>
          <w:sz w:val="28"/>
          <w:szCs w:val="28"/>
        </w:rPr>
        <w:t xml:space="preserve"> и одиннадцать подростков в возраст</w:t>
      </w:r>
      <w:r>
        <w:rPr>
          <w:sz w:val="28"/>
          <w:szCs w:val="28"/>
        </w:rPr>
        <w:t xml:space="preserve">е 15-17 лет (четыре в г. Сургут</w:t>
      </w:r>
      <w:r>
        <w:rPr>
          <w:sz w:val="28"/>
          <w:szCs w:val="28"/>
        </w:rPr>
        <w:t xml:space="preserve">е</w:t>
      </w:r>
      <w:r>
        <w:rPr>
          <w:sz w:val="28"/>
          <w:szCs w:val="28"/>
        </w:rPr>
        <w:t xml:space="preserve"> и по одному в гг. Когалым, Нижневартовск, Ня</w:t>
      </w:r>
      <w:r>
        <w:rPr>
          <w:sz w:val="28"/>
          <w:szCs w:val="28"/>
        </w:rPr>
        <w:t xml:space="preserve">гань, Покачи, Радужный, Ханты-Мансийск и Сургутский район).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Сургутском районе).</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Эта динамика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w:t>
      </w:r>
      <w:r>
        <w:rPr>
          <w:sz w:val="28"/>
          <w:szCs w:val="28"/>
        </w:rPr>
        <w:t xml:space="preserve">ленных на раннее выявление незаконного потребления и ограничение возможностей приобретения наркотиков. Результате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медицинские профилактические осмотры обучающихся;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Данные</w:t>
      </w:r>
      <w:r>
        <w:rPr>
          <w:sz w:val="28"/>
          <w:szCs w:val="28"/>
        </w:rPr>
        <w:t xml:space="preserve"> меры способствуют созданию среды, в которой раннее выявление и предотвращение наркопотребления становятся более эффективными.</w:t>
      </w:r>
      <w:r>
        <w:rPr>
          <w:sz w:val="28"/>
          <w:szCs w:val="28"/>
        </w:rPr>
      </w:r>
      <w:r>
        <w:rPr>
          <w:sz w:val="28"/>
          <w:szCs w:val="28"/>
        </w:rPr>
      </w:r>
    </w:p>
    <w:p>
      <w:pPr>
        <w:pStyle w:val="1661"/>
        <w:ind w:firstLine="709"/>
        <w:jc w:val="both"/>
        <w:spacing w:after="0" w:line="276" w:lineRule="auto"/>
        <w:rPr>
          <w:b/>
          <w:i/>
          <w:sz w:val="28"/>
          <w:szCs w:val="28"/>
          <w:highlight w:val="yellow"/>
        </w:rPr>
      </w:pPr>
      <w:r>
        <w:rPr>
          <w:b/>
          <w:i/>
          <w:sz w:val="28"/>
          <w:szCs w:val="28"/>
          <w:highlight w:val="yellow"/>
        </w:rPr>
      </w:r>
      <w:r>
        <w:rPr>
          <w:b/>
          <w:i/>
          <w:sz w:val="28"/>
          <w:szCs w:val="28"/>
          <w:highlight w:val="yellow"/>
        </w:rPr>
      </w:r>
      <w:r>
        <w:rPr>
          <w:b/>
          <w:i/>
          <w:sz w:val="28"/>
          <w:szCs w:val="28"/>
          <w:highlight w:val="yellow"/>
        </w:rPr>
      </w:r>
    </w:p>
    <w:p>
      <w:pPr>
        <w:ind w:firstLine="709"/>
        <w:spacing w:line="276" w:lineRule="auto"/>
        <w:rPr>
          <w:b/>
          <w:i/>
        </w:rPr>
        <w:outlineLvl w:val="0"/>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Pr>
          <w:b/>
          <w:i/>
        </w:rPr>
      </w:r>
      <w:r>
        <w:rPr>
          <w:b/>
          <w:i/>
        </w:rPr>
      </w:r>
    </w:p>
    <w:p>
      <w:pPr>
        <w:ind w:firstLine="709"/>
        <w:spacing w:line="276" w:lineRule="auto"/>
      </w:pPr>
      <w:r>
        <w:t xml:space="preserve">1. </w:t>
      </w:r>
      <w:r>
        <w:rPr>
          <w:b/>
          <w:u w:val="single"/>
        </w:rPr>
        <w:t xml:space="preserve">Город</w:t>
      </w:r>
      <w:r>
        <w:rPr>
          <w:b/>
          <w:u w:val="single"/>
        </w:rPr>
        <w:t xml:space="preserve"> Когалым</w:t>
      </w:r>
      <w:r>
        <w:t xml:space="preserve">, в данном муниципальном образовании прослеживаются</w:t>
      </w:r>
      <w:r>
        <w:t xml:space="preserve">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 г</w:t>
      </w:r>
      <w:r>
        <w:t xml:space="preserve">од</w:t>
      </w:r>
      <w:r>
        <w:t xml:space="preserve"> – 31,6 (20) и 2024 г</w:t>
      </w:r>
      <w:r>
        <w:t xml:space="preserve">од</w:t>
      </w:r>
      <w:r>
        <w:t xml:space="preserve"> – 31,3 (20), за счет изменения общей численности населения в муниципальном образовании отмечается снижение болезненности наркоманией на 0,9%;</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28,2%, при перерасчете на 100 тыс. населения: 2023 г</w:t>
      </w:r>
      <w:r>
        <w:t xml:space="preserve">од</w:t>
      </w:r>
      <w:r>
        <w:t xml:space="preserve"> - 34,8 (22) и 2024 г. - 25,0 (16), из них несовершеннолетних увеличение с 0 случаев в 2023 году до 1 случая (5,8 на 100 </w:t>
      </w:r>
      <w:r>
        <w:t xml:space="preserve">тыс. </w:t>
      </w:r>
      <w:r>
        <w:t xml:space="preserve">несовершеннолетних) в 2024 году;</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с 3 случаев (4,7 на 100 </w:t>
      </w:r>
      <w:r>
        <w:t xml:space="preserve">тыс. </w:t>
      </w:r>
      <w:r>
        <w:t xml:space="preserve">населения) в 2023 году до 1 случая (1,6 на 100 </w:t>
      </w:r>
      <w:r>
        <w:t xml:space="preserve">тыс. </w:t>
      </w:r>
      <w:r>
        <w:t xml:space="preserve">населения) в 2024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с 8 случаев (12,7 на 100 </w:t>
      </w:r>
      <w:r>
        <w:t xml:space="preserve">тыс. </w:t>
      </w:r>
      <w:r>
        <w:t xml:space="preserve">населения) в 2023 году до 4 случаев (6,3 на 100 </w:t>
      </w:r>
      <w:r>
        <w:t xml:space="preserve">тыс. </w:t>
      </w:r>
      <w:r>
        <w:t xml:space="preserve">населения) в 2024 году, из них среди несовершеннолетних увеличение с 0 случаев в 2023 году до 1 случая (5,8 на 100 </w:t>
      </w:r>
      <w:r>
        <w:t xml:space="preserve">тыс. </w:t>
      </w:r>
      <w:r>
        <w:t xml:space="preserve">несовершеннолетних)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2 случаев (3,1 на 100 </w:t>
      </w:r>
      <w:r>
        <w:t xml:space="preserve">тыс. </w:t>
      </w:r>
      <w:r>
        <w:t xml:space="preserve">населения) в 2024 году.</w:t>
      </w:r>
      <w:r/>
    </w:p>
    <w:p>
      <w:pPr>
        <w:ind w:firstLine="709"/>
        <w:spacing w:line="276" w:lineRule="auto"/>
      </w:pPr>
      <w:r>
        <w:rPr>
          <w:b w:val="0"/>
          <w:bCs w:val="0"/>
          <w:u w:val="none"/>
        </w:rPr>
        <w:t xml:space="preserve">2. </w:t>
      </w:r>
      <w:r>
        <w:rPr>
          <w:b/>
          <w:u w:val="single"/>
        </w:rPr>
        <w:t xml:space="preserve">Город</w:t>
      </w:r>
      <w:r>
        <w:rPr>
          <w:b/>
          <w:u w:val="single"/>
        </w:rPr>
        <w:t xml:space="preserve"> Лангепас</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35,8%, при перерасчете на 100 тыс. населения: 2023 г</w:t>
      </w:r>
      <w:r>
        <w:t xml:space="preserve">од</w:t>
      </w:r>
      <w:r>
        <w:t xml:space="preserve"> – 99,5 (46) и 2024 г</w:t>
      </w:r>
      <w:r>
        <w:t xml:space="preserve">од</w:t>
      </w:r>
      <w:r>
        <w:t xml:space="preserve"> – 63,9 (29);</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в 1,9 раза, при перерасчете на 100 тыс. населения: 2023 г</w:t>
      </w:r>
      <w:r>
        <w:t xml:space="preserve">од </w:t>
      </w:r>
      <w:r>
        <w:t xml:space="preserve">- 138,5 (64) и 2024 г</w:t>
      </w:r>
      <w:r>
        <w:t xml:space="preserve">од</w:t>
      </w:r>
      <w:r>
        <w:t xml:space="preserve"> - 72,7 (33);</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в 3,4 раза, при перерасчете на 100 тыс. населения: 2023 г</w:t>
      </w:r>
      <w:r>
        <w:t xml:space="preserve">од</w:t>
      </w:r>
      <w:r>
        <w:t xml:space="preserve"> - 15,1 (7) и 2024 г</w:t>
      </w:r>
      <w:r>
        <w:t xml:space="preserve">од</w:t>
      </w:r>
      <w:r>
        <w:t xml:space="preserve"> - 4,4 (2);</w:t>
      </w:r>
      <w:r/>
    </w:p>
    <w:p>
      <w:pPr>
        <w:ind w:firstLine="709"/>
        <w:spacing w:line="276" w:lineRule="auto"/>
      </w:pPr>
      <w:r>
        <w:t xml:space="preserve">- снижение числа лиц, впервые зарегистрированных с диагнозом «потребление наркотических сре</w:t>
      </w:r>
      <w:r>
        <w:t xml:space="preserve">дств с вр</w:t>
      </w:r>
      <w:r>
        <w:t xml:space="preserve">едными последствиями» в 6,1 раза, при перерасчете на 100 тыс. населения: 2023 г</w:t>
      </w:r>
      <w:r>
        <w:t xml:space="preserve">од</w:t>
      </w:r>
      <w:r>
        <w:t xml:space="preserve"> - 54,1 (25) и 2024 г</w:t>
      </w:r>
      <w:r>
        <w:t xml:space="preserve">од</w:t>
      </w:r>
      <w:r>
        <w:t xml:space="preserve"> - 8,8 (4);</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(13,0 на 100 </w:t>
      </w:r>
      <w:r>
        <w:t xml:space="preserve">тыс. </w:t>
      </w:r>
      <w:r>
        <w:t xml:space="preserve">населения) в 2023 году до 1 случая (2,2 на 100 </w:t>
      </w:r>
      <w:r>
        <w:t xml:space="preserve">тыс. </w:t>
      </w:r>
      <w:r>
        <w:t xml:space="preserve">населения) в 2024 году.</w:t>
      </w:r>
      <w:r/>
    </w:p>
    <w:p>
      <w:pPr>
        <w:ind w:firstLine="709"/>
        <w:spacing w:line="276" w:lineRule="auto"/>
      </w:pPr>
      <w:r>
        <w:rPr>
          <w:b w:val="0"/>
          <w:bCs w:val="0"/>
        </w:rPr>
        <w:t xml:space="preserve">3. </w:t>
      </w:r>
      <w:r>
        <w:rPr>
          <w:b/>
          <w:u w:val="single"/>
        </w:rPr>
        <w:t xml:space="preserve">Город</w:t>
      </w:r>
      <w:r>
        <w:rPr>
          <w:b/>
          <w:u w:val="single"/>
        </w:rPr>
        <w:t xml:space="preserve"> Мегион</w:t>
      </w:r>
      <w:r>
        <w:t xml:space="preserve">, </w:t>
      </w:r>
      <w:r>
        <w:t xml:space="preserve">в нем</w:t>
      </w:r>
      <w:r>
        <w:t xml:space="preserve">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19,3%, при перерасчете на 100 тыс. населения: 2023 г</w:t>
      </w:r>
      <w:r>
        <w:t xml:space="preserve">од</w:t>
      </w:r>
      <w:r>
        <w:t xml:space="preserve"> - 132,9 (79) и 2024 г</w:t>
      </w:r>
      <w:r>
        <w:t xml:space="preserve">од</w:t>
      </w:r>
      <w:r>
        <w:t xml:space="preserve"> - 107,2 (64);</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на 11,0%, при перерасчете на 100 тыс. населения: 2023 г</w:t>
      </w:r>
      <w:r>
        <w:t xml:space="preserve">од</w:t>
      </w:r>
      <w:r>
        <w:t xml:space="preserve"> - 63,9 (38) и 2024 г</w:t>
      </w:r>
      <w:r>
        <w:t xml:space="preserve">од</w:t>
      </w:r>
      <w:r>
        <w:t xml:space="preserve"> - 56,9 (34);</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на 20,2%, при перерасчете на 100 тыс. населения: 2023 г</w:t>
      </w:r>
      <w:r>
        <w:t xml:space="preserve">од</w:t>
      </w:r>
      <w:r>
        <w:t xml:space="preserve"> - 8,4 (5) и 2024 г</w:t>
      </w:r>
      <w:r>
        <w:t xml:space="preserve">од</w:t>
      </w:r>
      <w:r>
        <w:t xml:space="preserve"> - 6,7 (4);</w:t>
      </w:r>
      <w:r/>
    </w:p>
    <w:p>
      <w:pPr>
        <w:ind w:firstLine="709"/>
        <w:spacing w:line="276" w:lineRule="auto"/>
      </w:pPr>
      <w:r>
        <w:t xml:space="preserve">- снижение числа лиц, впервые зарегистрированных с диагнозом «потребление наркотических сре</w:t>
      </w:r>
      <w:r>
        <w:t xml:space="preserve">дств с вр</w:t>
      </w:r>
      <w:r>
        <w:t xml:space="preserve">едными последствиями» с 3 случаев (5,0 на 100 </w:t>
      </w:r>
      <w:r>
        <w:t xml:space="preserve">тыс. </w:t>
      </w:r>
      <w:r>
        <w:t xml:space="preserve">населения) в 2023 году до 1 случая (1,7 на 100 </w:t>
      </w:r>
      <w:r>
        <w:t xml:space="preserve">тыс. </w:t>
      </w:r>
      <w:r>
        <w:t xml:space="preserve">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3 случаев (5,0 на 100 </w:t>
      </w:r>
      <w:r>
        <w:t xml:space="preserve">тыс. </w:t>
      </w:r>
      <w:r>
        <w:t xml:space="preserve">населения) в 2023 году до 5 случаев (8,4 на 100 </w:t>
      </w:r>
      <w:r>
        <w:t xml:space="preserve">тыс. </w:t>
      </w:r>
      <w:r>
        <w:t xml:space="preserve">населения) в 2024 году.</w:t>
      </w:r>
      <w:r/>
    </w:p>
    <w:p>
      <w:pPr>
        <w:ind w:firstLine="709"/>
        <w:spacing w:line="276" w:lineRule="auto"/>
      </w:pPr>
      <w:r>
        <w:rPr>
          <w:b w:val="0"/>
          <w:bCs w:val="0"/>
        </w:rPr>
        <w:t xml:space="preserve">4. </w:t>
      </w:r>
      <w:r>
        <w:rPr>
          <w:b/>
          <w:u w:val="single"/>
        </w:rPr>
        <w:t xml:space="preserve">Город</w:t>
      </w:r>
      <w:r>
        <w:rPr>
          <w:b/>
          <w:u w:val="single"/>
        </w:rPr>
        <w:t xml:space="preserve"> Нефтеюганск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14,7%, при перерасчете на 100 тыс. населения: 2023 г</w:t>
      </w:r>
      <w:r>
        <w:t xml:space="preserve">од</w:t>
      </w:r>
      <w:r>
        <w:t xml:space="preserve"> – 62,0 (78) и 2024 г</w:t>
      </w:r>
      <w:r>
        <w:t xml:space="preserve">од</w:t>
      </w:r>
      <w:r>
        <w:t xml:space="preserve"> - 52,9 (67);</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на 31,5%, при перерасчете на 100 тыс. населения: 2023 г</w:t>
      </w:r>
      <w:r>
        <w:t xml:space="preserve">од</w:t>
      </w:r>
      <w:r>
        <w:t xml:space="preserve"> - 12,7 (16) и 2024 г</w:t>
      </w:r>
      <w:r>
        <w:t xml:space="preserve">од</w:t>
      </w:r>
      <w:r>
        <w:t xml:space="preserve"> - 8,7 (11);</w:t>
      </w:r>
      <w:r/>
    </w:p>
    <w:p>
      <w:pPr>
        <w:ind w:firstLine="709"/>
        <w:spacing w:line="276" w:lineRule="auto"/>
      </w:pPr>
      <w:r>
        <w:t xml:space="preserve">- наблюдается увеличение числа лиц </w:t>
      </w:r>
      <w:r>
        <w:t xml:space="preserve">с</w:t>
      </w:r>
      <w:r>
        <w:t xml:space="preserve"> впервые </w:t>
      </w:r>
      <w:r>
        <w:t xml:space="preserve">в</w:t>
      </w:r>
      <w:r>
        <w:t xml:space="preserve"> жизни установленным диагнозом «наркомания» с 3 случаев (2,4 на 100 </w:t>
      </w:r>
      <w:r>
        <w:t xml:space="preserve">тыс. </w:t>
      </w:r>
      <w:r>
        <w:t xml:space="preserve">населения) в 2023 году до 5 случаев (3,9 на 100 </w:t>
      </w:r>
      <w:r>
        <w:t xml:space="preserve">тыс. </w:t>
      </w:r>
      <w:r>
        <w:t xml:space="preserve">населения) в 2024 году;</w:t>
      </w:r>
      <w:r/>
    </w:p>
    <w:p>
      <w:pPr>
        <w:ind w:firstLine="709"/>
        <w:spacing w:line="276" w:lineRule="auto"/>
      </w:pPr>
      <w:r>
        <w:t xml:space="preserve">- снижение числа лиц, впервые зарегистрированных с диагнозом «потребление наркотических сре</w:t>
      </w:r>
      <w:r>
        <w:t xml:space="preserve">дств с вр</w:t>
      </w:r>
      <w:r>
        <w:t xml:space="preserve">едными последствиями» на 33,3%, при перерасчете на 100 тыс. населения: 2023 г</w:t>
      </w:r>
      <w:r>
        <w:t xml:space="preserve">од</w:t>
      </w:r>
      <w:r>
        <w:t xml:space="preserve"> - 2,4 (3) и 2024 г</w:t>
      </w:r>
      <w:r>
        <w:t xml:space="preserve">од</w:t>
      </w:r>
      <w:r>
        <w:t xml:space="preserve"> - 1,6 (2);</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4 случаев (3,2 на 100 </w:t>
      </w:r>
      <w:r>
        <w:t xml:space="preserve">тыс. </w:t>
      </w:r>
      <w:r>
        <w:t xml:space="preserve">населения) в 2023 году до 2 случаев (1,6 на 100 </w:t>
      </w:r>
      <w:r>
        <w:t xml:space="preserve">тыс. </w:t>
      </w:r>
      <w:r>
        <w:t xml:space="preserve">населения) в 2024 году.</w:t>
      </w:r>
      <w:r/>
    </w:p>
    <w:p>
      <w:pPr>
        <w:ind w:firstLine="709"/>
        <w:spacing w:line="276" w:lineRule="auto"/>
      </w:pPr>
      <w:r>
        <w:rPr>
          <w:b w:val="0"/>
          <w:bCs w:val="0"/>
        </w:rPr>
        <w:t xml:space="preserve">5. </w:t>
      </w:r>
      <w:r>
        <w:rPr>
          <w:b/>
          <w:u w:val="single"/>
        </w:rPr>
        <w:t xml:space="preserve">Город</w:t>
      </w:r>
      <w:r>
        <w:rPr>
          <w:b/>
          <w:u w:val="single"/>
        </w:rPr>
        <w:t xml:space="preserve"> Нижневартовск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3,7%, при перерасчете на 100 тыс. населения: 2023 г</w:t>
      </w:r>
      <w:r>
        <w:t xml:space="preserve">од</w:t>
      </w:r>
      <w:r>
        <w:t xml:space="preserve"> - 144,7 (418) и 2024 г</w:t>
      </w:r>
      <w:r>
        <w:t xml:space="preserve">од</w:t>
      </w:r>
      <w:r>
        <w:t xml:space="preserve"> - 139,4 (405);</w:t>
      </w:r>
      <w:r/>
    </w:p>
    <w:p>
      <w:pPr>
        <w:ind w:firstLine="709"/>
        <w:spacing w:line="276" w:lineRule="auto"/>
      </w:pPr>
      <w:r>
        <w:t xml:space="preserve">- стабилизация показателя на уровне 2023 года по числу лиц, зарегистрированных с диагнозом «потребление наркотических сре</w:t>
      </w:r>
      <w:r>
        <w:t xml:space="preserve">дств с вр</w:t>
      </w:r>
      <w:r>
        <w:t xml:space="preserve">едными последствиями», при перерасчете на 100 тыс. населения: 2023 г</w:t>
      </w:r>
      <w:r>
        <w:t xml:space="preserve">од</w:t>
      </w:r>
      <w:r>
        <w:t xml:space="preserve"> – 98,0 (283) и 2024 г</w:t>
      </w:r>
      <w:r>
        <w:t xml:space="preserve">од</w:t>
      </w:r>
      <w:r>
        <w:t xml:space="preserve"> - 97,4 (283)</w:t>
      </w:r>
      <w:r>
        <w:t xml:space="preserve">;</w:t>
      </w:r>
      <w:r>
        <w:t xml:space="preserve"> за счет изменения общей численности населения в муниципальном образовании отмечается снижение показателя на 0,6%, из них </w:t>
      </w:r>
      <w:r>
        <w:t xml:space="preserve">среди </w:t>
      </w:r>
      <w:r>
        <w:t xml:space="preserve">несовершеннолетних увеличение с 0 случаев в 2023 году до 1 случая (1,5 на 100 </w:t>
      </w:r>
      <w:r>
        <w:t xml:space="preserve">тыс. </w:t>
      </w:r>
      <w:r>
        <w:t xml:space="preserve">несовершеннолетних) в 2024 году;</w:t>
      </w:r>
      <w:r/>
    </w:p>
    <w:p>
      <w:pPr>
        <w:ind w:firstLine="709"/>
        <w:spacing w:line="276" w:lineRule="auto"/>
      </w:pPr>
      <w:r>
        <w:t xml:space="preserve">- наблюдается увеличение числа лиц </w:t>
      </w:r>
      <w:r>
        <w:t xml:space="preserve">с</w:t>
      </w:r>
      <w:r>
        <w:t xml:space="preserve"> впервые </w:t>
      </w:r>
      <w:r>
        <w:t xml:space="preserve">в</w:t>
      </w:r>
      <w:r>
        <w:t xml:space="preserve"> жизни установленным диагнозом «наркомания» в 1,5 раза, при перерасчете на 100 тыс. населения: 2023 г</w:t>
      </w:r>
      <w:r>
        <w:t xml:space="preserve">од</w:t>
      </w:r>
      <w:r>
        <w:t xml:space="preserve"> - 3,8 (11) и 2024 г</w:t>
      </w:r>
      <w:r>
        <w:t xml:space="preserve">од</w:t>
      </w:r>
      <w:r>
        <w:t xml:space="preserve"> - 5,9 (17);</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на 28,6%, при перерасчете на 100 тыс. населения: 2023 г</w:t>
      </w:r>
      <w:r>
        <w:t xml:space="preserve">од </w:t>
      </w:r>
      <w:r>
        <w:t xml:space="preserve">- 3,5 (10) и 2024 г</w:t>
      </w:r>
      <w:r>
        <w:t xml:space="preserve">од</w:t>
      </w:r>
      <w:r>
        <w:t xml:space="preserve"> - 4,5 (13), из них </w:t>
      </w:r>
      <w:r>
        <w:t xml:space="preserve">среди </w:t>
      </w:r>
      <w:r>
        <w:t xml:space="preserve">несовершеннолетних увеличение с 0 случаев в 2023 году до 1 случая (1,5 на 100 </w:t>
      </w:r>
      <w:r>
        <w:t xml:space="preserve">тыс. </w:t>
      </w:r>
      <w:r>
        <w:t xml:space="preserve">несовершеннолетних)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на 17,1%, при перерасчете на 100 тыс. населения: 2023 г</w:t>
      </w:r>
      <w:r>
        <w:t xml:space="preserve">од</w:t>
      </w:r>
      <w:r>
        <w:t xml:space="preserve"> - 3,5 (10) и 2024 г</w:t>
      </w:r>
      <w:r>
        <w:t xml:space="preserve">од</w:t>
      </w:r>
      <w:r>
        <w:t xml:space="preserve"> - 4,1 (12).</w:t>
      </w:r>
      <w:r/>
    </w:p>
    <w:p>
      <w:pPr>
        <w:ind w:firstLine="709"/>
        <w:spacing w:line="276" w:lineRule="auto"/>
      </w:pPr>
      <w:r>
        <w:rPr>
          <w:b w:val="0"/>
          <w:bCs w:val="0"/>
        </w:rPr>
        <w:t xml:space="preserve">6. </w:t>
      </w:r>
      <w:r>
        <w:rPr>
          <w:b/>
          <w:u w:val="single"/>
        </w:rPr>
        <w:t xml:space="preserve">Город </w:t>
      </w:r>
      <w:r>
        <w:rPr>
          <w:b/>
          <w:u w:val="single"/>
        </w:rPr>
        <w:t xml:space="preserve">Нягань</w:t>
      </w:r>
      <w:r>
        <w:t xml:space="preserve">, </w:t>
      </w:r>
      <w:r>
        <w:t xml:space="preserve">в нем</w:t>
      </w:r>
      <w:r>
        <w:t xml:space="preserve">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17,5%, при перерасчете на 100 тыс. населения: 2023 г</w:t>
      </w:r>
      <w:r>
        <w:t xml:space="preserve">од</w:t>
      </w:r>
      <w:r>
        <w:t xml:space="preserve"> - 120,4 (81) и 2024 г</w:t>
      </w:r>
      <w:r>
        <w:t xml:space="preserve">од</w:t>
      </w:r>
      <w:r>
        <w:t xml:space="preserve"> - 99,3 (67);</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18,7%, при перерасчете на 100 тыс. населения: 2023 г</w:t>
      </w:r>
      <w:r>
        <w:t xml:space="preserve">од</w:t>
      </w:r>
      <w:r>
        <w:t xml:space="preserve"> - 136,8 (92) и 2024 г</w:t>
      </w:r>
      <w:r>
        <w:t xml:space="preserve">од</w:t>
      </w:r>
      <w:r>
        <w:t xml:space="preserve"> - 111,2 (75), из них </w:t>
      </w:r>
      <w:r>
        <w:t xml:space="preserve">среди </w:t>
      </w:r>
      <w:r>
        <w:t xml:space="preserve">несовершеннолетних увеличение с 0 случаев в 2023 году до 1 случая (6,1 на 100 </w:t>
      </w:r>
      <w:r>
        <w:t xml:space="preserve">тыс. </w:t>
      </w:r>
      <w:r>
        <w:t xml:space="preserve">несовершеннолетних) в 2024 году;</w:t>
      </w:r>
      <w:r/>
    </w:p>
    <w:p>
      <w:pPr>
        <w:ind w:firstLine="709"/>
        <w:spacing w:line="276" w:lineRule="auto"/>
      </w:pPr>
      <w:r>
        <w:t xml:space="preserve">- стабилизация показателя на уровне 2023 года по числу лиц, зарегистрированных впервые в жизни с диагнозом «наркомания», при перерасчете на 100 тыс. населения: 2023 г</w:t>
      </w:r>
      <w:r>
        <w:t xml:space="preserve">од</w:t>
      </w:r>
      <w:r>
        <w:t xml:space="preserve"> – 4,5 (3) и 2024 г</w:t>
      </w:r>
      <w:r>
        <w:t xml:space="preserve">од</w:t>
      </w:r>
      <w:r>
        <w:t xml:space="preserve"> – 4,4 (3), за счет изменения общей численности населения в муниципальном образовании отмечается снижение показателя на 2,2%;</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28,8%, при перерасчете на 100 тыс. населения: 2023 г</w:t>
      </w:r>
      <w:r>
        <w:t xml:space="preserve">од</w:t>
      </w:r>
      <w:r>
        <w:t xml:space="preserve"> - 10,4 (7) и 2024 г</w:t>
      </w:r>
      <w:r>
        <w:t xml:space="preserve">од</w:t>
      </w:r>
      <w:r>
        <w:t xml:space="preserve"> - 7,4 (5), из них </w:t>
      </w:r>
      <w:r>
        <w:t xml:space="preserve">среди </w:t>
      </w:r>
      <w:r>
        <w:t xml:space="preserve">несовершеннолетних увеличение с 0 случаев в 2023 году до 1 случая (6,1 на 100 </w:t>
      </w:r>
      <w:r>
        <w:t xml:space="preserve">тыс. </w:t>
      </w:r>
      <w:r>
        <w:t xml:space="preserve">несовершеннолетних) в 2024 году;</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rPr>
          <w:b w:val="0"/>
          <w:bCs w:val="0"/>
        </w:rPr>
        <w:t xml:space="preserve">7. </w:t>
      </w:r>
      <w:r>
        <w:rPr>
          <w:b/>
          <w:u w:val="single"/>
        </w:rPr>
        <w:t xml:space="preserve">Город</w:t>
      </w:r>
      <w:r>
        <w:rPr>
          <w:b/>
          <w:u w:val="single"/>
        </w:rPr>
        <w:t xml:space="preserve"> Покачи</w:t>
      </w:r>
      <w:r>
        <w:t xml:space="preserve">, в данном </w:t>
      </w:r>
      <w:r>
        <w:t xml:space="preserve">муниципалитете</w:t>
      </w:r>
      <w:r>
        <w:t xml:space="preserve">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 г</w:t>
      </w:r>
      <w:r>
        <w:t xml:space="preserve">од</w:t>
      </w:r>
      <w:r>
        <w:t xml:space="preserve"> – 6,1 (1) и 2024 г</w:t>
      </w:r>
      <w:r>
        <w:t xml:space="preserve">од</w:t>
      </w:r>
      <w:r>
        <w:t xml:space="preserve"> – 6,0 (1), за счет изменения общей численности населения в муниципальном образовании отмечается снижение болезненности наркоманией на 1,6%;</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с вредными последствиями» с 4 случаев (24,4 на 100 </w:t>
      </w:r>
      <w:r>
        <w:t xml:space="preserve">тыс. </w:t>
      </w:r>
      <w:r>
        <w:t xml:space="preserve">населения) в 2023 году до 6 случаев (36,2 на 100 </w:t>
      </w:r>
      <w:r>
        <w:t xml:space="preserve">тыс. </w:t>
      </w:r>
      <w:r>
        <w:t xml:space="preserve">населения) в 2024 году, из них </w:t>
      </w:r>
      <w:r>
        <w:t xml:space="preserve">среди </w:t>
      </w:r>
      <w:r>
        <w:t xml:space="preserve">несовершеннолетних увеличение с 0 случаев в 2023 году до 1 случая (20,8 на 100 </w:t>
      </w:r>
      <w:r>
        <w:t xml:space="preserve">тыс. </w:t>
      </w:r>
      <w:r>
        <w:t xml:space="preserve">несовершеннолетних) в 2024 году;</w:t>
      </w:r>
      <w:r/>
    </w:p>
    <w:p>
      <w:pPr>
        <w:ind w:firstLine="709"/>
        <w:spacing w:line="276" w:lineRule="auto"/>
      </w:pPr>
      <w:r>
        <w:t xml:space="preserve">- наблюдается уменьшение числа лиц, впервые в жизни зарегистрированных с диагнозом «наркомания» с 1 случая (6,1 на 100 </w:t>
      </w:r>
      <w:r>
        <w:t xml:space="preserve">тыс. </w:t>
      </w:r>
      <w:r>
        <w:t xml:space="preserve">населения) в 2023 году до 0 случаев в 2024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25,8%, при перерасчете на 100 тыс. населения: 2023 г. - 24,4 (4) и 2024 г. - 18,1 (3), из них </w:t>
      </w:r>
      <w:r>
        <w:t xml:space="preserve">среди </w:t>
      </w:r>
      <w:r>
        <w:t xml:space="preserve">несовершеннолетних увеличение с 0 случаев в 2023 году до 1 случая (20,8 на 100 </w:t>
      </w:r>
      <w:r>
        <w:t xml:space="preserve">тыс. </w:t>
      </w:r>
      <w:r>
        <w:t xml:space="preserve">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(6,1 на 100 </w:t>
      </w:r>
      <w:r>
        <w:t xml:space="preserve">тыс. </w:t>
      </w:r>
      <w:r>
        <w:t xml:space="preserve">населения) в 2023 году до 0 случаев в 2024 году.</w:t>
      </w:r>
      <w:r/>
    </w:p>
    <w:p>
      <w:pPr>
        <w:ind w:firstLine="709"/>
        <w:spacing w:line="276" w:lineRule="auto"/>
      </w:pPr>
      <w:r>
        <w:rPr>
          <w:b w:val="0"/>
          <w:bCs w:val="0"/>
        </w:rPr>
        <w:t xml:space="preserve">8. </w:t>
      </w:r>
      <w:r>
        <w:rPr>
          <w:b/>
          <w:u w:val="single"/>
        </w:rPr>
        <w:t xml:space="preserve">Город</w:t>
      </w:r>
      <w:r>
        <w:rPr>
          <w:b/>
          <w:u w:val="single"/>
        </w:rPr>
        <w:t xml:space="preserve"> Пыть-Ях</w:t>
      </w:r>
      <w:r>
        <w:t xml:space="preserve">, в </w:t>
      </w:r>
      <w:r>
        <w:t xml:space="preserve">этом городе</w:t>
      </w:r>
      <w:r>
        <w:t xml:space="preserve">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14,0%, при перерасчете на 100 тыс. населения: 2023 г</w:t>
      </w:r>
      <w:r>
        <w:t xml:space="preserve">од</w:t>
      </w:r>
      <w:r>
        <w:t xml:space="preserve"> - 180,7 (73) и 2024 г</w:t>
      </w:r>
      <w:r>
        <w:t xml:space="preserve">од</w:t>
      </w:r>
      <w:r>
        <w:t xml:space="preserve"> - 155,4 (63);</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на 12,5%, при перерасчете на 100 тыс. населения: 2023 г</w:t>
      </w:r>
      <w:r>
        <w:t xml:space="preserve">од</w:t>
      </w:r>
      <w:r>
        <w:t xml:space="preserve"> - 121,3 (49) и 2024 г</w:t>
      </w:r>
      <w:r>
        <w:t xml:space="preserve">од</w:t>
      </w:r>
      <w:r>
        <w:t xml:space="preserve"> - 106,1 (43);</w:t>
      </w:r>
      <w:r/>
    </w:p>
    <w:p>
      <w:pPr>
        <w:ind w:firstLine="709"/>
        <w:spacing w:line="276" w:lineRule="auto"/>
      </w:pPr>
      <w:r>
        <w:t xml:space="preserve">- наблюдается уменьшение числа лиц, впервые в жизни зарегистрированных с диагнозом «наркомания» с 2 случаев (5,0 на 100 </w:t>
      </w:r>
      <w:r>
        <w:t xml:space="preserve">тыс. </w:t>
      </w:r>
      <w:r>
        <w:t xml:space="preserve">населения) в 2023 году до 0 случаев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w:t>
      </w:r>
      <w:r>
        <w:t xml:space="preserve">дств с вр</w:t>
      </w:r>
      <w:r>
        <w:t xml:space="preserve">едными последствиями» с 6 случаев (14,9 на 100 </w:t>
      </w:r>
      <w:r>
        <w:t xml:space="preserve">тыс. </w:t>
      </w:r>
      <w:r>
        <w:t xml:space="preserve">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(2,5 на 100 </w:t>
      </w:r>
      <w:r>
        <w:t xml:space="preserve">тыс. </w:t>
      </w:r>
      <w:r>
        <w:t xml:space="preserve">населения) в 2023 году до 0 случаев в 2024 году.</w:t>
      </w:r>
      <w:r/>
    </w:p>
    <w:p>
      <w:pPr>
        <w:ind w:firstLine="709"/>
        <w:spacing w:line="276" w:lineRule="auto"/>
      </w:pPr>
      <w:r>
        <w:rPr>
          <w:b w:val="0"/>
          <w:bCs w:val="0"/>
        </w:rPr>
        <w:t xml:space="preserve">9</w:t>
      </w:r>
      <w:r>
        <w:rPr>
          <w:b w:val="0"/>
          <w:bCs w:val="0"/>
        </w:rPr>
        <w:t xml:space="preserve">.</w:t>
      </w:r>
      <w:r>
        <w:rPr>
          <w:b w:val="0"/>
          <w:bCs w:val="0"/>
        </w:rPr>
        <w:t xml:space="preserve"> </w:t>
      </w:r>
      <w:r>
        <w:rPr>
          <w:b/>
          <w:u w:val="single"/>
        </w:rPr>
        <w:t xml:space="preserve">Город</w:t>
      </w:r>
      <w:r>
        <w:rPr>
          <w:b/>
          <w:u w:val="single"/>
        </w:rPr>
        <w:t xml:space="preserve"> </w:t>
      </w:r>
      <w:r>
        <w:rPr>
          <w:b/>
          <w:u w:val="single"/>
        </w:rPr>
        <w:t xml:space="preserve">Радужный</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38,8%, при перерасчете на 100 тыс. населения: 2023 г</w:t>
      </w:r>
      <w:r>
        <w:t xml:space="preserve">од</w:t>
      </w:r>
      <w:r>
        <w:t xml:space="preserve"> - 46,6 (21) и 2024 г</w:t>
      </w:r>
      <w:r>
        <w:t xml:space="preserve">од</w:t>
      </w:r>
      <w:r>
        <w:t xml:space="preserve"> - 28,5 (13);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с вредными последствиями» на 3,5%, при перерасчете на 100 тыс. населения: 2023 г</w:t>
      </w:r>
      <w:r>
        <w:t xml:space="preserve">од</w:t>
      </w:r>
      <w:r>
        <w:t xml:space="preserve"> - 48,8 (22) и 2024 </w:t>
      </w:r>
      <w:r>
        <w:t xml:space="preserve">г</w:t>
      </w:r>
      <w:r>
        <w:t xml:space="preserve">од</w:t>
      </w:r>
      <w:r>
        <w:t xml:space="preserve"> - 50,5 (23), из них </w:t>
      </w:r>
      <w:r>
        <w:t xml:space="preserve">среди </w:t>
      </w:r>
      <w:r>
        <w:t xml:space="preserve">несовершеннолетних увеличение с 0 случаев в 2023 году до 2 случаев (15,4 на 100 </w:t>
      </w:r>
      <w:r>
        <w:t xml:space="preserve">тыс. </w:t>
      </w:r>
      <w:r>
        <w:t xml:space="preserve">несовершеннолетних)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увеличение числа лиц, впервые зарегистрированных с диагнозом «потребление наркотических сре</w:t>
      </w:r>
      <w:r>
        <w:t xml:space="preserve">дств с вр</w:t>
      </w:r>
      <w:r>
        <w:t xml:space="preserve">едными последствиями» с 3 случаев (6,7 на 100 </w:t>
      </w:r>
      <w:r>
        <w:t xml:space="preserve">тыс. </w:t>
      </w:r>
      <w:r>
        <w:t xml:space="preserve">населения) в 2023 году до 6 случаев (13,2 на 100 </w:t>
      </w:r>
      <w:r>
        <w:t xml:space="preserve">тыс. </w:t>
      </w:r>
      <w:r>
        <w:t xml:space="preserve">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1 случая (2,2 на 100 </w:t>
      </w:r>
      <w:r>
        <w:t xml:space="preserve">тыс. </w:t>
      </w:r>
      <w:r>
        <w:t xml:space="preserve">населения) в 2024 году.</w:t>
      </w:r>
      <w:r/>
    </w:p>
    <w:p>
      <w:pPr>
        <w:ind w:firstLine="709"/>
        <w:spacing w:line="276" w:lineRule="auto"/>
      </w:pPr>
      <w:r>
        <w:rPr>
          <w:b w:val="0"/>
          <w:bCs w:val="0"/>
        </w:rPr>
        <w:t xml:space="preserve">10.</w:t>
      </w:r>
      <w:r>
        <w:t xml:space="preserve"> </w:t>
      </w:r>
      <w:r>
        <w:rPr>
          <w:b/>
          <w:u w:val="single"/>
        </w:rPr>
        <w:t xml:space="preserve">Город</w:t>
      </w:r>
      <w:r>
        <w:rPr>
          <w:b/>
          <w:u w:val="single"/>
        </w:rPr>
        <w:t xml:space="preserve"> Сургут</w:t>
      </w:r>
      <w:r>
        <w:t xml:space="preserve">, </w:t>
      </w:r>
      <w:r>
        <w:t xml:space="preserve">здесь</w:t>
      </w:r>
      <w:r>
        <w:t xml:space="preserve">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3,4%, при перерасчете на 100 тыс. населения: 2023 г</w:t>
      </w:r>
      <w:r>
        <w:t xml:space="preserve">од </w:t>
      </w:r>
      <w:r>
        <w:t xml:space="preserve">- 75,4 (311) и 2024 г</w:t>
      </w:r>
      <w:r>
        <w:t xml:space="preserve">од</w:t>
      </w:r>
      <w:r>
        <w:t xml:space="preserve"> – 78,0 (328),</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6,7%, при перерасчете на 100 тыс. населения: 2023 г</w:t>
      </w:r>
      <w:r>
        <w:t xml:space="preserve">од</w:t>
      </w:r>
      <w:r>
        <w:t xml:space="preserve"> - 40,5 (167) и 2024 г</w:t>
      </w:r>
      <w:r>
        <w:t xml:space="preserve">од</w:t>
      </w:r>
      <w:r>
        <w:t xml:space="preserve"> - 37,8 (159), из них </w:t>
      </w:r>
      <w:r>
        <w:t xml:space="preserve">среди </w:t>
      </w:r>
      <w:r>
        <w:t xml:space="preserve">несовершеннолетних уменьшение на 19,8%, при перерасчете на 100 тыс. детско-подросткового населения: 2023 г</w:t>
      </w:r>
      <w:r>
        <w:t xml:space="preserve">од</w:t>
      </w:r>
      <w:r>
        <w:t xml:space="preserve"> - 10,6 (11) и 2024 г</w:t>
      </w:r>
      <w:r>
        <w:t xml:space="preserve">од</w:t>
      </w:r>
      <w:r>
        <w:t xml:space="preserve"> - 8,5 (9);</w:t>
      </w:r>
      <w:r/>
    </w:p>
    <w:p>
      <w:pPr>
        <w:ind w:firstLine="709"/>
        <w:spacing w:line="276" w:lineRule="auto"/>
      </w:pPr>
      <w:r>
        <w:t xml:space="preserve">- наблюдается увеличение числа лиц </w:t>
      </w:r>
      <w:r>
        <w:t xml:space="preserve">с</w:t>
      </w:r>
      <w:r>
        <w:t xml:space="preserve"> впервые </w:t>
      </w:r>
      <w:r>
        <w:t xml:space="preserve">в</w:t>
      </w:r>
      <w:r>
        <w:t xml:space="preserve"> жизни установленным диагнозом «наркомания» в 3,9 раза, при перерасчете на 100 тыс. населения: 2023 г</w:t>
      </w:r>
      <w:r>
        <w:t xml:space="preserve">од</w:t>
      </w:r>
      <w:r>
        <w:t xml:space="preserve"> - 1,5 (6) и 2024 г</w:t>
      </w:r>
      <w:r>
        <w:t xml:space="preserve">од</w:t>
      </w:r>
      <w:r>
        <w:t xml:space="preserve"> - 5,9 (25);</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15,4%, при перерасчете на 100 тыс. населения: 2023 г</w:t>
      </w:r>
      <w:r>
        <w:t xml:space="preserve">од</w:t>
      </w:r>
      <w:r>
        <w:t xml:space="preserve"> - 6,5 (27) и 2024 г</w:t>
      </w:r>
      <w:r>
        <w:t xml:space="preserve">од</w:t>
      </w:r>
      <w:r>
        <w:t xml:space="preserve"> - 5,5 (23), из них </w:t>
      </w:r>
      <w:r>
        <w:t xml:space="preserve">среди </w:t>
      </w:r>
      <w:r>
        <w:t xml:space="preserve">несовершеннолетних уменьшение на 20,8%, при перерасчете на 100 тыс. детско-подросткового населения: 2023 г</w:t>
      </w:r>
      <w:r>
        <w:t xml:space="preserve">од</w:t>
      </w:r>
      <w:r>
        <w:t xml:space="preserve"> - 4,8 (5) и 2024 г</w:t>
      </w:r>
      <w:r>
        <w:t xml:space="preserve">од</w:t>
      </w:r>
      <w:r>
        <w:t xml:space="preserve"> - 3,8 (4);</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в 1,9 раза, при перерасчете на 100 тыс. населения: 2023 г</w:t>
      </w:r>
      <w:r>
        <w:t xml:space="preserve">од</w:t>
      </w:r>
      <w:r>
        <w:t xml:space="preserve"> - 10,4 (43) и 2024 г</w:t>
      </w:r>
      <w:r>
        <w:t xml:space="preserve">од</w:t>
      </w:r>
      <w:r>
        <w:t xml:space="preserve"> - 5,5 (23).</w:t>
      </w:r>
      <w:r/>
    </w:p>
    <w:p>
      <w:pPr>
        <w:ind w:firstLine="709"/>
        <w:spacing w:line="276" w:lineRule="auto"/>
      </w:pPr>
      <w:r>
        <w:rPr>
          <w:b w:val="0"/>
          <w:bCs w:val="0"/>
        </w:rPr>
        <w:t xml:space="preserve">11.</w:t>
      </w:r>
      <w:r>
        <w:rPr>
          <w:b/>
        </w:rPr>
        <w:t xml:space="preserve"> </w:t>
      </w:r>
      <w:r>
        <w:rPr>
          <w:b/>
          <w:u w:val="single"/>
        </w:rPr>
        <w:t xml:space="preserve">Город</w:t>
      </w:r>
      <w:r>
        <w:rPr>
          <w:b/>
          <w:u w:val="single"/>
        </w:rPr>
        <w:t xml:space="preserve"> </w:t>
      </w:r>
      <w:r>
        <w:rPr>
          <w:b/>
          <w:u w:val="single"/>
        </w:rPr>
        <w:t xml:space="preserve">Урай</w:t>
      </w:r>
      <w:r>
        <w:t xml:space="preserve">, в данном муниципал</w:t>
      </w:r>
      <w:r>
        <w:t xml:space="preserve">итете </w:t>
      </w:r>
      <w:r>
        <w:t xml:space="preserve">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6,0%, при перерасчете на 100 тыс. населения: 2023 г</w:t>
      </w:r>
      <w:r>
        <w:t xml:space="preserve">од </w:t>
      </w:r>
      <w:r>
        <w:t xml:space="preserve">- 84,9 (35) и 2024 г</w:t>
      </w:r>
      <w:r>
        <w:t xml:space="preserve">од</w:t>
      </w:r>
      <w:r>
        <w:t xml:space="preserve"> - 79,8 (33);</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на 25,2%, при перерасчете на 100 тыс. населения: 2023 г</w:t>
      </w:r>
      <w:r>
        <w:t xml:space="preserve">од</w:t>
      </w:r>
      <w:r>
        <w:t xml:space="preserve"> - 48,5 (20) и 2024 г</w:t>
      </w:r>
      <w:r>
        <w:t xml:space="preserve">од </w:t>
      </w:r>
      <w:r>
        <w:t xml:space="preserve">- 36,3 (15);</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с 7 случаев (17,0 на 100 </w:t>
      </w:r>
      <w:r>
        <w:t xml:space="preserve">тыс. </w:t>
      </w:r>
      <w:r>
        <w:t xml:space="preserve">населения) в 2023 году до 3 случаев (7,3 на 100 </w:t>
      </w:r>
      <w:r>
        <w:t xml:space="preserve">тыс. </w:t>
      </w:r>
      <w:r>
        <w:t xml:space="preserve">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w:t>
      </w:r>
      <w:r>
        <w:t xml:space="preserve">дств с вр</w:t>
      </w:r>
      <w:r>
        <w:t xml:space="preserve">едными последствиями» с 8 случаев (19,4 на 100 </w:t>
      </w:r>
      <w:r>
        <w:t xml:space="preserve">тыс. </w:t>
      </w:r>
      <w:r>
        <w:t xml:space="preserve">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(2,4 на 100 </w:t>
      </w:r>
      <w:r>
        <w:t xml:space="preserve">тыс. </w:t>
      </w:r>
      <w:r>
        <w:t xml:space="preserve">населения) в 2023 году до 0 случаев в 2024 году.</w:t>
      </w:r>
      <w:r/>
    </w:p>
    <w:p>
      <w:pPr>
        <w:ind w:firstLine="709"/>
        <w:spacing w:line="276" w:lineRule="auto"/>
      </w:pPr>
      <w:r>
        <w:rPr>
          <w:b w:val="0"/>
          <w:bCs w:val="0"/>
        </w:rPr>
        <w:t xml:space="preserve">12.</w:t>
      </w:r>
      <w:r>
        <w:rPr>
          <w:b/>
        </w:rPr>
        <w:t xml:space="preserve"> </w:t>
      </w:r>
      <w:r>
        <w:rPr>
          <w:b/>
          <w:u w:val="single"/>
        </w:rPr>
        <w:t xml:space="preserve">Город</w:t>
      </w:r>
      <w:r>
        <w:rPr>
          <w:b/>
          <w:u w:val="single"/>
        </w:rPr>
        <w:t xml:space="preserve"> </w:t>
      </w:r>
      <w:r>
        <w:rPr>
          <w:b/>
          <w:u w:val="single"/>
        </w:rPr>
        <w:t xml:space="preserve">Ханты-Мансийск</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17,2%, при перерасчете на 100 тыс. населения: 2023 г</w:t>
      </w:r>
      <w:r>
        <w:t xml:space="preserve">од</w:t>
      </w:r>
      <w:r>
        <w:t xml:space="preserve"> - 148,1 (164) и 2024 г</w:t>
      </w:r>
      <w:r>
        <w:t xml:space="preserve">од</w:t>
      </w:r>
      <w:r>
        <w:t xml:space="preserve"> - 173,6 (194),</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с вредными последствиями» на 19,8%, при перерасчете на 100 тыс. населения: 2023 г</w:t>
      </w:r>
      <w:r>
        <w:t xml:space="preserve">од</w:t>
      </w:r>
      <w:r>
        <w:t xml:space="preserve"> - 17,2 (19) и 2024 г</w:t>
      </w:r>
      <w:r>
        <w:t xml:space="preserve">од</w:t>
      </w:r>
      <w:r>
        <w:t xml:space="preserve"> - 20,6 (23), из них </w:t>
      </w:r>
      <w:r>
        <w:t xml:space="preserve">среди </w:t>
      </w:r>
      <w:r>
        <w:t xml:space="preserve">несовершеннолетних увеличение с 0 случаев в 2023 году до 1 случая (3,8 на 100 </w:t>
      </w:r>
      <w:r>
        <w:t xml:space="preserve">тыс. </w:t>
      </w:r>
      <w:r>
        <w:t xml:space="preserve">несовершеннолетних) в 2024 году;</w:t>
      </w:r>
      <w:r/>
    </w:p>
    <w:p>
      <w:pPr>
        <w:ind w:firstLine="709"/>
        <w:spacing w:line="276" w:lineRule="auto"/>
      </w:pPr>
      <w:r>
        <w:t xml:space="preserve">- наблюдается увеличение числа лиц </w:t>
      </w:r>
      <w:r>
        <w:t xml:space="preserve">с</w:t>
      </w:r>
      <w:r>
        <w:t xml:space="preserve"> впервые </w:t>
      </w:r>
      <w:r>
        <w:t xml:space="preserve">в</w:t>
      </w:r>
      <w:r>
        <w:t xml:space="preserve"> жизни установленным диагнозом «наркомания» в 3,5 раза, при перерасчете на 100 тыс. населения: 2023 г</w:t>
      </w:r>
      <w:r>
        <w:t xml:space="preserve">од</w:t>
      </w:r>
      <w:r>
        <w:t xml:space="preserve"> - 3,6 (4) и 2024 г</w:t>
      </w:r>
      <w:r>
        <w:t xml:space="preserve">од</w:t>
      </w:r>
      <w:r>
        <w:t xml:space="preserve"> - 12,5 (14);</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2 случаев (1,8 на 100 </w:t>
      </w:r>
      <w:r>
        <w:t xml:space="preserve">тыс. </w:t>
      </w:r>
      <w:r>
        <w:t xml:space="preserve">населения) в 2023 году до 7 случаев (6,3 на 100 </w:t>
      </w:r>
      <w:r>
        <w:t xml:space="preserve">тыс. </w:t>
      </w:r>
      <w:r>
        <w:t xml:space="preserve">населения) в 2024 году, из них несовершеннолетних увеличение с 0 случаев в 2023 году до 1 случая (3,8 на 100 </w:t>
      </w:r>
      <w:r>
        <w:t xml:space="preserve">тыс. </w:t>
      </w:r>
      <w:r>
        <w:t xml:space="preserve">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33,3%, при перерасчете на 100 тыс. населения: 2023 г</w:t>
      </w:r>
      <w:r>
        <w:t xml:space="preserve">од</w:t>
      </w:r>
      <w:r>
        <w:t xml:space="preserve"> - 2,7 (3) и 2024 г</w:t>
      </w:r>
      <w:r>
        <w:t xml:space="preserve">од</w:t>
      </w:r>
      <w:r>
        <w:t xml:space="preserve"> - 1,8 (2).</w:t>
      </w:r>
      <w:r/>
    </w:p>
    <w:p>
      <w:pPr>
        <w:ind w:firstLine="709"/>
        <w:spacing w:line="276" w:lineRule="auto"/>
      </w:pPr>
      <w:r>
        <w:rPr>
          <w:b w:val="0"/>
          <w:bCs w:val="0"/>
        </w:rPr>
        <w:t xml:space="preserve">13.</w:t>
      </w:r>
      <w:r>
        <w:t xml:space="preserve"> </w:t>
      </w:r>
      <w:r>
        <w:rPr>
          <w:b/>
          <w:u w:val="single"/>
        </w:rPr>
        <w:t xml:space="preserve">Город</w:t>
      </w:r>
      <w:r>
        <w:rPr>
          <w:b/>
          <w:u w:val="single"/>
        </w:rPr>
        <w:t xml:space="preserve"> Югорск</w:t>
      </w:r>
      <w:r>
        <w:t xml:space="preserve">, в </w:t>
      </w:r>
      <w:r>
        <w:t xml:space="preserve">этом городе</w:t>
      </w:r>
      <w:r>
        <w:t xml:space="preserve">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11,4%, при перерасчете на 100 тыс. населения: 2023 г</w:t>
      </w:r>
      <w:r>
        <w:t xml:space="preserve">од</w:t>
      </w:r>
      <w:r>
        <w:t xml:space="preserve"> - 238,9 (93) и 2024 г</w:t>
      </w:r>
      <w:r>
        <w:t xml:space="preserve">од</w:t>
      </w:r>
      <w:r>
        <w:t xml:space="preserve"> - 211,6 (83);</w:t>
      </w:r>
      <w:r/>
    </w:p>
    <w:p>
      <w:pPr>
        <w:ind w:firstLine="709"/>
        <w:spacing w:line="276" w:lineRule="auto"/>
      </w:pPr>
      <w:r>
        <w:t xml:space="preserve">- стабилизация показателя на уровне 2023 года по числу лиц, зарегистрированных с диагнозом «потребление наркотических сре</w:t>
      </w:r>
      <w:r>
        <w:t xml:space="preserve">дств с вр</w:t>
      </w:r>
      <w:r>
        <w:t xml:space="preserve">едными последствиями», при перерасчете на 100 тыс. населения: 2023 г</w:t>
      </w:r>
      <w:r>
        <w:t xml:space="preserve">од</w:t>
      </w:r>
      <w:r>
        <w:t xml:space="preserve"> – 38,5 (15) и 2024 г</w:t>
      </w:r>
      <w:r>
        <w:t xml:space="preserve">од</w:t>
      </w:r>
      <w:r>
        <w:t xml:space="preserve"> - 38,2 (15), за счет изменения общей численности населения в муниципальном образовании отмечается снижение показателя на 0,8%;</w:t>
      </w:r>
      <w:r/>
    </w:p>
    <w:p>
      <w:pPr>
        <w:ind w:firstLine="709"/>
        <w:spacing w:line="276" w:lineRule="auto"/>
      </w:pPr>
      <w:r>
        <w:t xml:space="preserve">- наблюдается уменьшение числа лиц, впервые в жизни зарегистрированных с диагнозом «наркомания» с 3 случаев (7,7 на 100 </w:t>
      </w:r>
      <w:r>
        <w:t xml:space="preserve">тыс. </w:t>
      </w:r>
      <w:r>
        <w:t xml:space="preserve">населения) в 2023 году до 0 случаев в 2024 году;</w:t>
      </w:r>
      <w:r/>
    </w:p>
    <w:p>
      <w:pPr>
        <w:ind w:firstLine="709"/>
        <w:spacing w:line="276" w:lineRule="auto"/>
      </w:pPr>
      <w:r>
        <w:t xml:space="preserve">- увеличение числа лиц, впервые зарегистрированных с диагнозом «потребление наркотических сре</w:t>
      </w:r>
      <w:r>
        <w:t xml:space="preserve">дств с вр</w:t>
      </w:r>
      <w:r>
        <w:t xml:space="preserve">едными последствиями» с 1 случая (2,6 на 100 </w:t>
      </w:r>
      <w:r>
        <w:t xml:space="preserve">тыс. </w:t>
      </w:r>
      <w:r>
        <w:t xml:space="preserve">населения) в 2023 году до 2 случаев (5,1 на 100 </w:t>
      </w:r>
      <w:r>
        <w:t xml:space="preserve">тыс. </w:t>
      </w:r>
      <w:r>
        <w:t xml:space="preserve">населения) в 2024 году;</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rPr>
          <w:b w:val="0"/>
          <w:bCs w:val="0"/>
        </w:rPr>
        <w:t xml:space="preserve">14.</w:t>
      </w:r>
      <w:r>
        <w:t xml:space="preserve"> </w:t>
      </w:r>
      <w:r>
        <w:rPr>
          <w:b/>
          <w:u w:val="single"/>
        </w:rPr>
        <w:t xml:space="preserve">Белоярский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2023 - 2024 г</w:t>
      </w:r>
      <w:r>
        <w:t xml:space="preserve">оды</w:t>
      </w:r>
      <w:r>
        <w:t xml:space="preserve"> – 7,0 (абс. 2);</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с 4 случаев (14,0 на 100 </w:t>
      </w:r>
      <w:r>
        <w:t xml:space="preserve">тыс. </w:t>
      </w:r>
      <w:r>
        <w:t xml:space="preserve">населения) в 2023 году до 2 случаев (7,0 на 100 </w:t>
      </w:r>
      <w:r>
        <w:t xml:space="preserve">тыс. </w:t>
      </w:r>
      <w:r>
        <w:t xml:space="preserve">населения)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rPr>
          <w:b w:val="0"/>
          <w:bCs w:val="0"/>
        </w:rPr>
        <w:t xml:space="preserve">15.</w:t>
      </w:r>
      <w:r>
        <w:rPr>
          <w:b/>
        </w:rPr>
        <w:t xml:space="preserve"> </w:t>
      </w:r>
      <w:r>
        <w:rPr>
          <w:b/>
          <w:u w:val="single"/>
        </w:rPr>
        <w:t xml:space="preserve">Берёзовский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33,3%, при перерасчете на 100 тыс. населения: 2023 г</w:t>
      </w:r>
      <w:r>
        <w:t xml:space="preserve">од</w:t>
      </w:r>
      <w:r>
        <w:t xml:space="preserve"> - 12,9 (3) и 2024 г</w:t>
      </w:r>
      <w:r>
        <w:t xml:space="preserve">од</w:t>
      </w:r>
      <w:r>
        <w:t xml:space="preserve"> - 8,6 (2);</w:t>
      </w:r>
      <w:r/>
    </w:p>
    <w:p>
      <w:pPr>
        <w:ind w:firstLine="709"/>
        <w:spacing w:line="276" w:lineRule="auto"/>
      </w:pPr>
      <w:r>
        <w:t xml:space="preserve">- наблюдается уменьшение числа лиц, зарегистрированных с диагнозом «потребление наркотических сре</w:t>
      </w:r>
      <w:r>
        <w:t xml:space="preserve">дств с вр</w:t>
      </w:r>
      <w:r>
        <w:t xml:space="preserve">едными последствиями» с 1 случая (4,3 на 100 </w:t>
      </w:r>
      <w:r>
        <w:t xml:space="preserve">тыс. </w:t>
      </w:r>
      <w:r>
        <w:t xml:space="preserve">населения) в 2023 году до 0 случаев в 2024 году;</w:t>
      </w:r>
      <w:r/>
    </w:p>
    <w:p>
      <w:pPr>
        <w:ind w:firstLine="709"/>
        <w:spacing w:line="276" w:lineRule="auto"/>
      </w:pPr>
      <w:r>
        <w:t xml:space="preserve">- наблюдается уменьшение числа лиц, впервые в жизни зарегистрированных с диагнозом «наркомания» с 2 случаев (8,6 на 100 </w:t>
      </w:r>
      <w:r>
        <w:t xml:space="preserve">тыс. </w:t>
      </w:r>
      <w:r>
        <w:t xml:space="preserve">населения) в 2023 году до 0 случаев в 2024 году;</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rPr>
          <w:b w:val="0"/>
          <w:bCs w:val="0"/>
        </w:rPr>
        <w:t xml:space="preserve">16.</w:t>
      </w:r>
      <w:r>
        <w:rPr>
          <w:b/>
        </w:rPr>
        <w:t xml:space="preserve"> </w:t>
      </w:r>
      <w:r>
        <w:rPr>
          <w:b/>
          <w:u w:val="single"/>
        </w:rPr>
        <w:t xml:space="preserve">Кондинский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2023 - 2024 г</w:t>
      </w:r>
      <w:r>
        <w:t xml:space="preserve">оды</w:t>
      </w:r>
      <w:r>
        <w:t xml:space="preserve"> – 9,9 (абс. 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w:t>
      </w:r>
      <w:r>
        <w:t xml:space="preserve">дств с вр</w:t>
      </w:r>
      <w:r>
        <w:t xml:space="preserve">едными последствиями» в 1,8 раза, при перерасчете на 100 тыс. населения: 2023 г</w:t>
      </w:r>
      <w:r>
        <w:t xml:space="preserve">од</w:t>
      </w:r>
      <w:r>
        <w:t xml:space="preserve"> - 16,4 (5) и 2024 г</w:t>
      </w:r>
      <w:r>
        <w:t xml:space="preserve">од</w:t>
      </w:r>
      <w:r>
        <w:t xml:space="preserve"> - 29,6 (9);</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увеличение числа лиц, впервые зарегистрированных с диагнозом «потребление наркотических сре</w:t>
      </w:r>
      <w:r>
        <w:t xml:space="preserve">дств с вр</w:t>
      </w:r>
      <w:r>
        <w:t xml:space="preserve">едными последствиями» с 2 случаев (6,6 на 100 </w:t>
      </w:r>
      <w:r>
        <w:t xml:space="preserve">тыс. </w:t>
      </w:r>
      <w:r>
        <w:t xml:space="preserve">населения) в 2023 году до 6 случаев (19,7 на 100 </w:t>
      </w:r>
      <w:r>
        <w:t xml:space="preserve">тыс. </w:t>
      </w:r>
      <w:r>
        <w:t xml:space="preserve">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1 случая (3,3 на 100 </w:t>
      </w:r>
      <w:r>
        <w:t xml:space="preserve">тыс. </w:t>
      </w:r>
      <w:r>
        <w:t xml:space="preserve">населения) в 2023 году до 3 случаев (9,9 на 100 </w:t>
      </w:r>
      <w:r>
        <w:t xml:space="preserve">тыс. </w:t>
      </w:r>
      <w:r>
        <w:t xml:space="preserve">населения) в 2024 году.</w:t>
      </w:r>
      <w:r/>
    </w:p>
    <w:p>
      <w:pPr>
        <w:ind w:firstLine="709"/>
        <w:spacing w:line="276" w:lineRule="auto"/>
      </w:pPr>
      <w:r>
        <w:rPr>
          <w:b w:val="0"/>
          <w:bCs w:val="0"/>
        </w:rPr>
        <w:t xml:space="preserve">17.</w:t>
      </w:r>
      <w:r>
        <w:t xml:space="preserve"> </w:t>
      </w:r>
      <w:r>
        <w:rPr>
          <w:b/>
          <w:u w:val="single"/>
        </w:rPr>
        <w:t xml:space="preserve">Нефтеюганский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18,1%, при перерасчете на 100 тыс. населения: 2023 г</w:t>
      </w:r>
      <w:r>
        <w:t xml:space="preserve">од </w:t>
      </w:r>
      <w:r>
        <w:t xml:space="preserve">– 36,0 (17) и 2024 г</w:t>
      </w:r>
      <w:r>
        <w:t xml:space="preserve">од</w:t>
      </w:r>
      <w:r>
        <w:t xml:space="preserve"> - 29,5 (14);</w:t>
      </w:r>
      <w:r/>
    </w:p>
    <w:p>
      <w:pPr>
        <w:ind w:firstLine="709"/>
        <w:spacing w:line="276" w:lineRule="auto"/>
      </w:pPr>
      <w:r>
        <w:t xml:space="preserve">- стабилизация показателя на уровне 2023 года по числу лиц, зарегистрированных с диагнозом «потребление наркотических сре</w:t>
      </w:r>
      <w:r>
        <w:t xml:space="preserve">дств с вр</w:t>
      </w:r>
      <w:r>
        <w:t xml:space="preserve">едными последствиями», при перерасчете на 100 тыс. населения: 2023 г</w:t>
      </w:r>
      <w:r>
        <w:t xml:space="preserve">од</w:t>
      </w:r>
      <w:r>
        <w:t xml:space="preserve"> – 16,9 (8) и 2024 г</w:t>
      </w:r>
      <w:r>
        <w:t xml:space="preserve">од</w:t>
      </w:r>
      <w:r>
        <w:t xml:space="preserve"> – 16,8 (8), за счет изменения общей численности </w:t>
      </w:r>
      <w:r>
        <w:t xml:space="preserve">населения в муниципальном образовании отмечается снижение показателя на 0,6%;</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2 случаев (4,2 на 100 </w:t>
      </w:r>
      <w:r>
        <w:t xml:space="preserve">тыс. </w:t>
      </w:r>
      <w:r>
        <w:t xml:space="preserve">населения) в 2023 году до 0 случаев в 2024 году.</w:t>
      </w:r>
      <w:r/>
    </w:p>
    <w:p>
      <w:pPr>
        <w:ind w:firstLine="709"/>
        <w:spacing w:line="276" w:lineRule="auto"/>
      </w:pPr>
      <w:r>
        <w:rPr>
          <w:b w:val="0"/>
          <w:bCs w:val="0"/>
        </w:rPr>
        <w:t xml:space="preserve">18.</w:t>
      </w:r>
      <w:r>
        <w:rPr>
          <w:b/>
        </w:rPr>
        <w:t xml:space="preserve"> </w:t>
      </w:r>
      <w:r>
        <w:rPr>
          <w:b/>
          <w:u w:val="single"/>
        </w:rPr>
        <w:t xml:space="preserve">Нижневартовский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17,6%, при перерасчете на 100 тыс. населения: 2023 г</w:t>
      </w:r>
      <w:r>
        <w:t xml:space="preserve">од</w:t>
      </w:r>
      <w:r>
        <w:t xml:space="preserve"> - 59,6 (23) и 2024 г</w:t>
      </w:r>
      <w:r>
        <w:t xml:space="preserve">од</w:t>
      </w:r>
      <w:r>
        <w:t xml:space="preserve"> - 49,1 (19);</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с 3 случаев (7,8 на 100 </w:t>
      </w:r>
      <w:r>
        <w:t xml:space="preserve">тыс. </w:t>
      </w:r>
      <w:r>
        <w:t xml:space="preserve">населения) в 2023 году до 1 случая (2,6 на 100 </w:t>
      </w:r>
      <w:r>
        <w:t xml:space="preserve">тыс. </w:t>
      </w:r>
      <w:r>
        <w:t xml:space="preserve">населения) в 2024 году;</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с 3 случаев (7,8 на 100 </w:t>
      </w:r>
      <w:r>
        <w:t xml:space="preserve">тыс. </w:t>
      </w:r>
      <w:r>
        <w:t xml:space="preserve">населения) в 2023 году до 2 случаев (5,2 на 100 </w:t>
      </w:r>
      <w:r>
        <w:t xml:space="preserve">тыс. </w:t>
      </w:r>
      <w:r>
        <w:t xml:space="preserve">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w:t>
      </w:r>
      <w:r>
        <w:t xml:space="preserve">дств с вр</w:t>
      </w:r>
      <w:r>
        <w:t xml:space="preserve">едными последствиями» с 1 случая (2,6 на 100 </w:t>
      </w:r>
      <w:r>
        <w:t xml:space="preserve">тыс. </w:t>
      </w:r>
      <w:r>
        <w:t xml:space="preserve">населения) в 2023 году до 0 случаев в 2024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2023 - 2024 г</w:t>
      </w:r>
      <w:r>
        <w:t xml:space="preserve">оды</w:t>
      </w:r>
      <w:r>
        <w:t xml:space="preserve"> – 2,6 (абс. 1).</w:t>
      </w:r>
      <w:r/>
    </w:p>
    <w:p>
      <w:pPr>
        <w:ind w:firstLine="709"/>
        <w:spacing w:line="276" w:lineRule="auto"/>
      </w:pPr>
      <w:r>
        <w:rPr>
          <w:b w:val="0"/>
          <w:bCs w:val="0"/>
        </w:rPr>
        <w:t xml:space="preserve">19.</w:t>
      </w:r>
      <w:r>
        <w:rPr>
          <w:b/>
        </w:rPr>
        <w:t xml:space="preserve"> </w:t>
      </w:r>
      <w:r>
        <w:rPr>
          <w:b/>
          <w:u w:val="single"/>
        </w:rPr>
        <w:t xml:space="preserve">Октябрьский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 г</w:t>
      </w:r>
      <w:r>
        <w:t xml:space="preserve">од</w:t>
      </w:r>
      <w:r>
        <w:t xml:space="preserve"> – 7,3 (2) и 2024 г</w:t>
      </w:r>
      <w:r>
        <w:t xml:space="preserve">од</w:t>
      </w:r>
      <w:r>
        <w:t xml:space="preserve"> – 7,2 (1), за счет изменения общей численности населения в муниципальном образовании отмечается снижение болезненности наркоманией на 1,4%;</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с вредными последствиями» с 2 случаев (7,3 на 100 </w:t>
      </w:r>
      <w:r>
        <w:t xml:space="preserve">тыс. </w:t>
      </w:r>
      <w:r>
        <w:t xml:space="preserve">населения) в 2023 году до 3 случаев (10,9 на 100 </w:t>
      </w:r>
      <w:r>
        <w:t xml:space="preserve">тыс. </w:t>
      </w:r>
      <w:r>
        <w:t xml:space="preserve">населения) в 2024 году, из них несовершеннолетних увеличение с 0 случаев в 2023 году до 1 случая (20,8 на 100 </w:t>
      </w:r>
      <w:r>
        <w:t xml:space="preserve">тыс. </w:t>
      </w:r>
      <w:r>
        <w:t xml:space="preserve">несовершеннолетних)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w:t>
      </w:r>
      <w:r>
        <w:t xml:space="preserve">дств с вр</w:t>
      </w:r>
      <w:r>
        <w:t xml:space="preserve">едными последствиями» с 1 случая (3,6 на 100 </w:t>
      </w:r>
      <w:r>
        <w:t xml:space="preserve">тыс. </w:t>
      </w:r>
      <w:r>
        <w:t xml:space="preserve">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(3,6 на 100 </w:t>
      </w:r>
      <w:r>
        <w:t xml:space="preserve">тыс. </w:t>
      </w:r>
      <w:r>
        <w:t xml:space="preserve">населения) в 2023 году до 0 случаев в 2024 году.</w:t>
      </w:r>
      <w:r/>
    </w:p>
    <w:p>
      <w:pPr>
        <w:ind w:firstLine="709"/>
        <w:spacing w:line="276" w:lineRule="auto"/>
      </w:pPr>
      <w:r>
        <w:rPr>
          <w:b w:val="0"/>
          <w:bCs w:val="0"/>
        </w:rPr>
        <w:t xml:space="preserve">20.</w:t>
      </w:r>
      <w:r>
        <w:t xml:space="preserve"> </w:t>
      </w:r>
      <w:r>
        <w:rPr>
          <w:b/>
          <w:u w:val="single"/>
        </w:rPr>
        <w:t xml:space="preserve">Советский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2,9%, при перерасчете на 100 тыс. населения: 2023 г</w:t>
      </w:r>
      <w:r>
        <w:t xml:space="preserve">од</w:t>
      </w:r>
      <w:r>
        <w:t xml:space="preserve"> - 219,2 (102) и 2024 г</w:t>
      </w:r>
      <w:r>
        <w:t xml:space="preserve">од</w:t>
      </w:r>
      <w:r>
        <w:t xml:space="preserve"> - 212,9 (99);</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w:t>
      </w:r>
      <w:r>
        <w:t xml:space="preserve">едными последствиями» на 5,8%, при перерасчете на 100 тыс. населения: 2023 г</w:t>
      </w:r>
      <w:r>
        <w:t xml:space="preserve">од</w:t>
      </w:r>
      <w:r>
        <w:t xml:space="preserve"> - 36,5 (17) и 2024 г</w:t>
      </w:r>
      <w:r>
        <w:t xml:space="preserve">од</w:t>
      </w:r>
      <w:r>
        <w:t xml:space="preserve"> - 34,4 (16);</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с 4 случаев (8,6 на 100 </w:t>
      </w:r>
      <w:r>
        <w:t xml:space="preserve">тыс. </w:t>
      </w:r>
      <w:r>
        <w:t xml:space="preserve">населения) в 2023 году до 3 случаев (6,5 на 100 </w:t>
      </w:r>
      <w:r>
        <w:t xml:space="preserve">тыс. </w:t>
      </w:r>
      <w:r>
        <w:t xml:space="preserve">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w:t>
      </w:r>
      <w:r>
        <w:t xml:space="preserve">дств с вр</w:t>
      </w:r>
      <w:r>
        <w:t xml:space="preserve">едными последствиями» с 1 случая (2,1 на 100 </w:t>
      </w:r>
      <w:r>
        <w:t xml:space="preserve">тыс. </w:t>
      </w:r>
      <w:r>
        <w:t xml:space="preserve">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2 случаев (4,3 на 100 </w:t>
      </w:r>
      <w:r>
        <w:t xml:space="preserve">тыс. </w:t>
      </w:r>
      <w:r>
        <w:t xml:space="preserve">населения) в 2023 году до 0 случаев в 2024 году.</w:t>
      </w:r>
      <w:r/>
    </w:p>
    <w:p>
      <w:pPr>
        <w:ind w:firstLine="709"/>
        <w:spacing w:line="276" w:lineRule="auto"/>
      </w:pPr>
      <w:r>
        <w:rPr>
          <w:b w:val="0"/>
          <w:bCs w:val="0"/>
        </w:rPr>
        <w:t xml:space="preserve">21.</w:t>
      </w:r>
      <w:r>
        <w:t xml:space="preserve"> </w:t>
      </w:r>
      <w:r>
        <w:rPr>
          <w:b/>
          <w:u w:val="single"/>
        </w:rPr>
        <w:t xml:space="preserve">Сургутский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8,5%, при перерасчете на 100 тыс. населения: 2023 г</w:t>
      </w:r>
      <w:r>
        <w:t xml:space="preserve">од</w:t>
      </w:r>
      <w:r>
        <w:t xml:space="preserve"> - 82,3 (105) и 2024 г</w:t>
      </w:r>
      <w:r>
        <w:t xml:space="preserve">од</w:t>
      </w:r>
      <w:r>
        <w:t xml:space="preserve"> - 89,3 (115),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с вредными последствиями» на 8,0%, при перерасчете на 100 тыс. населения: 2023 г</w:t>
      </w:r>
      <w:r>
        <w:t xml:space="preserve">од</w:t>
      </w:r>
      <w:r>
        <w:t xml:space="preserve"> - 43,9 (56) и 2024 г</w:t>
      </w:r>
      <w:r>
        <w:t xml:space="preserve">од</w:t>
      </w:r>
      <w:r>
        <w:t xml:space="preserve"> - 47,4 (61), из них несовершеннолетних уменьшение с 6 случаев (16,6 на </w:t>
      </w:r>
      <w:r>
        <w:t xml:space="preserve">100 </w:t>
      </w:r>
      <w:r>
        <w:t xml:space="preserve">тыс. </w:t>
      </w:r>
      <w:r>
        <w:t xml:space="preserve">несовершеннолетних) в 2023 году до 4 случаев (10,9 на 100 </w:t>
      </w:r>
      <w:r>
        <w:t xml:space="preserve">тыс. </w:t>
      </w:r>
      <w:r>
        <w:t xml:space="preserve">несовершеннолетних) в 2024 году;</w:t>
      </w:r>
      <w:r/>
    </w:p>
    <w:p>
      <w:pPr>
        <w:ind w:firstLine="709"/>
        <w:spacing w:line="276" w:lineRule="auto"/>
      </w:pPr>
      <w:r>
        <w:t xml:space="preserve">- наблюдается снижение числа лиц </w:t>
      </w:r>
      <w:r>
        <w:t xml:space="preserve">с</w:t>
      </w:r>
      <w:r>
        <w:t xml:space="preserve"> впервые </w:t>
      </w:r>
      <w:r>
        <w:t xml:space="preserve">в</w:t>
      </w:r>
      <w:r>
        <w:t xml:space="preserve"> жизни установленным диагнозом «наркомания» на 22,7%, при перерасчете на 100 тыс. населения: 2023 г</w:t>
      </w:r>
      <w:r>
        <w:t xml:space="preserve">од</w:t>
      </w:r>
      <w:r>
        <w:t xml:space="preserve"> – 11,0 (14) и 2024 г</w:t>
      </w:r>
      <w:r>
        <w:t xml:space="preserve">од</w:t>
      </w:r>
      <w:r>
        <w:t xml:space="preserve"> - 8,5 (11);</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24,1%, при перерасчете на 100 тыс. населения: 2023 г</w:t>
      </w:r>
      <w:r>
        <w:t xml:space="preserve">од</w:t>
      </w:r>
      <w:r>
        <w:t xml:space="preserve"> - 13,3 (17) и 2024 г</w:t>
      </w:r>
      <w:r>
        <w:t xml:space="preserve">од</w:t>
      </w:r>
      <w:r>
        <w:t xml:space="preserve"> - 10,1 (13), из них </w:t>
      </w:r>
      <w:r>
        <w:t xml:space="preserve">среди </w:t>
      </w:r>
      <w:r>
        <w:t xml:space="preserve">несовершеннолетних уменьшение с 2 случаев (5,5 на 100 </w:t>
      </w:r>
      <w:r>
        <w:t xml:space="preserve">тыс. </w:t>
      </w:r>
      <w:r>
        <w:t xml:space="preserve">несовершеннолетних) в 2023 году до 1 случая (2,7 на 100 </w:t>
      </w:r>
      <w:r>
        <w:t xml:space="preserve">тыс. </w:t>
      </w:r>
      <w:r>
        <w:t xml:space="preserve">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7 случаев (5,5 на 100 </w:t>
      </w:r>
      <w:r>
        <w:t xml:space="preserve">тыс. </w:t>
      </w:r>
      <w:r>
        <w:t xml:space="preserve">населения) в 2023 году до 4 случаев (3,1 на 100 </w:t>
      </w:r>
      <w:r>
        <w:t xml:space="preserve">тыс. </w:t>
      </w:r>
      <w:r>
        <w:t xml:space="preserve">населения) в 2024 году.</w:t>
      </w:r>
      <w:r/>
    </w:p>
    <w:p>
      <w:pPr>
        <w:ind w:firstLine="709"/>
        <w:spacing w:line="276" w:lineRule="auto"/>
      </w:pPr>
      <w:r>
        <w:rPr>
          <w:b w:val="0"/>
          <w:bCs w:val="0"/>
        </w:rPr>
        <w:t xml:space="preserve">22.</w:t>
      </w:r>
      <w:r>
        <w:rPr>
          <w:b/>
        </w:rPr>
        <w:t xml:space="preserve"> </w:t>
      </w:r>
      <w:r>
        <w:rPr>
          <w:b/>
          <w:u w:val="single"/>
        </w:rPr>
        <w:t xml:space="preserve">Ханты</w:t>
      </w:r>
      <w:r>
        <w:rPr>
          <w:b/>
          <w:u w:val="single"/>
        </w:rPr>
        <w:t xml:space="preserve">-Мансийский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21,7%, при перерасчете на 100 тыс. населения: 2023 г</w:t>
      </w:r>
      <w:r>
        <w:t xml:space="preserve">од </w:t>
      </w:r>
      <w:r>
        <w:t xml:space="preserve">- 47,5 (9) и 2024 г</w:t>
      </w:r>
      <w:r>
        <w:t xml:space="preserve">од</w:t>
      </w:r>
      <w:r>
        <w:t xml:space="preserve"> - 57,8 (11);</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w:t>
      </w:r>
      <w:r>
        <w:t xml:space="preserve">дств с вр</w:t>
      </w:r>
      <w:r>
        <w:t xml:space="preserve">едными последствиями» с 5 случаев (26,4 на 100 </w:t>
      </w:r>
      <w:r>
        <w:t xml:space="preserve">тыс. </w:t>
      </w:r>
      <w:r>
        <w:t xml:space="preserve">несовершеннолетних) в 2023 году до 7 случаев (36,8 на 100 </w:t>
      </w:r>
      <w:r>
        <w:t xml:space="preserve">тыс. </w:t>
      </w:r>
      <w:r>
        <w:t xml:space="preserve">несовершеннолетних) в 2024 году;</w:t>
      </w:r>
      <w:r/>
    </w:p>
    <w:p>
      <w:pPr>
        <w:ind w:firstLine="709"/>
        <w:spacing w:line="276" w:lineRule="auto"/>
      </w:pPr>
      <w:r>
        <w:t xml:space="preserve">- наблюдается увеличение числа лиц </w:t>
      </w:r>
      <w:r>
        <w:t xml:space="preserve">с</w:t>
      </w:r>
      <w:r>
        <w:t xml:space="preserve"> впервые </w:t>
      </w:r>
      <w:r>
        <w:t xml:space="preserve">в</w:t>
      </w:r>
      <w:r>
        <w:t xml:space="preserve"> жизни установленным диагнозом «наркомания» с 0 случаев в 2023 году до 1 случая (5,3 на 100 </w:t>
      </w:r>
      <w:r>
        <w:t xml:space="preserve">тыс. </w:t>
      </w:r>
      <w:r>
        <w:t xml:space="preserve">населения) в 2024 году;</w:t>
      </w:r>
      <w:r/>
    </w:p>
    <w:p>
      <w:pPr>
        <w:ind w:firstLine="709"/>
        <w:spacing w:line="276" w:lineRule="auto"/>
      </w:pPr>
      <w:r>
        <w:t xml:space="preserve">- увеличение числа лиц, впервые зарегистрированных с диагнозом «потребление наркотических сре</w:t>
      </w:r>
      <w:r>
        <w:t xml:space="preserve">дств с вр</w:t>
      </w:r>
      <w:r>
        <w:t xml:space="preserve">едными последствиями» с 1 случая (5,3 на 100 </w:t>
      </w:r>
      <w:r>
        <w:t xml:space="preserve">тыс. </w:t>
      </w:r>
      <w:r>
        <w:t xml:space="preserve">населения) в 2023 году до 2 случаев (10,5 на 100 </w:t>
      </w:r>
      <w:r>
        <w:t xml:space="preserve">тыс. </w:t>
      </w:r>
      <w:r>
        <w:t xml:space="preserve">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1 случая (5,3 на 100 </w:t>
      </w:r>
      <w:r>
        <w:t xml:space="preserve">тыс. </w:t>
      </w:r>
      <w:r>
        <w:t xml:space="preserve">населения) в 2024 году.</w:t>
      </w:r>
      <w:r/>
    </w:p>
    <w:p>
      <w:pPr>
        <w:ind w:firstLine="709"/>
        <w:spacing w:line="276" w:lineRule="auto"/>
        <w:rPr>
          <w:b/>
        </w:rPr>
      </w:pPr>
      <w:r>
        <w:rPr>
          <w:b/>
        </w:rPr>
      </w:r>
      <w:r>
        <w:rPr>
          <w:b/>
        </w:rPr>
      </w:r>
      <w:r>
        <w:rPr>
          <w:b/>
        </w:rPr>
      </w:r>
    </w:p>
    <w:p>
      <w:pPr>
        <w:ind w:firstLine="709"/>
        <w:spacing w:line="276" w:lineRule="auto"/>
        <w:rPr>
          <w:b/>
          <w:i/>
        </w:rPr>
        <w:outlineLvl w:val="0"/>
      </w:pPr>
      <w:r>
        <w:rPr>
          <w:b/>
          <w:i/>
        </w:rPr>
        <w:t xml:space="preserve">Анализ причин произошедших изменений, в том числе по муниципальным образованиям автономного округа</w:t>
      </w:r>
      <w:r>
        <w:rPr>
          <w:b/>
          <w:i/>
        </w:rPr>
      </w:r>
      <w:r>
        <w:rPr>
          <w:b/>
          <w:i/>
        </w:rPr>
      </w:r>
    </w:p>
    <w:p>
      <w:pPr>
        <w:pStyle w:val="1661"/>
        <w:ind w:firstLine="709"/>
        <w:jc w:val="both"/>
        <w:spacing w:after="0" w:line="276" w:lineRule="auto"/>
        <w:rPr>
          <w:sz w:val="28"/>
          <w:szCs w:val="28"/>
        </w:rPr>
      </w:pPr>
      <w:r>
        <w:rPr>
          <w:sz w:val="28"/>
          <w:szCs w:val="28"/>
        </w:rPr>
        <w:t xml:space="preserve">В разрезе муниципальных образований </w:t>
      </w:r>
      <w:r>
        <w:rPr>
          <w:sz w:val="28"/>
          <w:szCs w:val="28"/>
          <w:lang w:val="ru-RU"/>
        </w:rPr>
        <w:t xml:space="preserve">автономного округа </w:t>
      </w:r>
      <w:r>
        <w:rPr>
          <w:sz w:val="28"/>
          <w:szCs w:val="28"/>
        </w:rPr>
        <w:t xml:space="preserve">уровень болезненности наркоманией в 2024 году</w:t>
      </w:r>
      <w:r>
        <w:rPr>
          <w:sz w:val="28"/>
          <w:szCs w:val="28"/>
          <w:lang w:val="ru-RU"/>
        </w:rPr>
        <w:t xml:space="preserve"> в сравнении с прошлым </w:t>
      </w:r>
      <w:r>
        <w:rPr>
          <w:sz w:val="28"/>
          <w:szCs w:val="28"/>
          <w:lang w:val="ru-RU"/>
        </w:rPr>
        <w:t xml:space="preserve">анализируемым периодом</w:t>
      </w:r>
      <w:r>
        <w:rPr>
          <w:sz w:val="28"/>
          <w:szCs w:val="28"/>
        </w:rPr>
        <w:t xml:space="preserve"> имеет тенденцию к увеличению на территории </w:t>
      </w:r>
      <w:r>
        <w:rPr>
          <w:sz w:val="28"/>
          <w:szCs w:val="28"/>
          <w:lang w:val="ru-RU"/>
        </w:rPr>
        <w:br/>
      </w:r>
      <w:r>
        <w:rPr>
          <w:sz w:val="28"/>
          <w:szCs w:val="28"/>
        </w:rPr>
        <w:t xml:space="preserve">Ханты-Мансийск</w:t>
      </w:r>
      <w:r>
        <w:rPr>
          <w:sz w:val="28"/>
          <w:szCs w:val="28"/>
        </w:rPr>
        <w:t xml:space="preserve">а</w:t>
      </w:r>
      <w:r>
        <w:rPr>
          <w:sz w:val="28"/>
          <w:szCs w:val="28"/>
        </w:rPr>
        <w:t xml:space="preserve"> на 17,2 %, </w:t>
      </w:r>
      <w:r>
        <w:rPr>
          <w:sz w:val="28"/>
          <w:szCs w:val="28"/>
        </w:rPr>
        <w:t xml:space="preserve">Сургут</w:t>
      </w:r>
      <w:r>
        <w:rPr>
          <w:sz w:val="28"/>
          <w:szCs w:val="28"/>
        </w:rPr>
        <w:t xml:space="preserve">а</w:t>
      </w:r>
      <w:r>
        <w:rPr>
          <w:sz w:val="28"/>
          <w:szCs w:val="28"/>
        </w:rPr>
        <w:t xml:space="preserve"> на 3,4 %</w:t>
      </w:r>
      <w:r>
        <w:rPr>
          <w:sz w:val="28"/>
          <w:szCs w:val="28"/>
          <w:lang w:val="ru-RU"/>
        </w:rPr>
        <w:t xml:space="preserve">,</w:t>
      </w:r>
      <w:r>
        <w:rPr>
          <w:sz w:val="28"/>
          <w:szCs w:val="28"/>
        </w:rPr>
        <w:t xml:space="preserve"> </w:t>
      </w:r>
      <w:r>
        <w:rPr>
          <w:sz w:val="28"/>
          <w:szCs w:val="28"/>
        </w:rPr>
        <w:t xml:space="preserve">Сургутского района на 8,5 %</w:t>
      </w:r>
      <w:r>
        <w:rPr>
          <w:sz w:val="28"/>
          <w:szCs w:val="28"/>
        </w:rPr>
        <w:t xml:space="preserve"> </w:t>
      </w:r>
      <w:r>
        <w:rPr>
          <w:sz w:val="28"/>
          <w:szCs w:val="28"/>
          <w:lang w:val="ru-RU"/>
        </w:rPr>
        <w:t xml:space="preserve">и </w:t>
      </w:r>
      <w:r>
        <w:rPr>
          <w:sz w:val="28"/>
          <w:szCs w:val="28"/>
        </w:rPr>
        <w:t xml:space="preserve">Хан</w:t>
      </w:r>
      <w:r>
        <w:rPr>
          <w:sz w:val="28"/>
          <w:szCs w:val="28"/>
        </w:rPr>
        <w:t xml:space="preserve">ты-Мансийского района на 21,7 %</w:t>
      </w:r>
      <w:r>
        <w:rPr>
          <w:sz w:val="28"/>
          <w:szCs w:val="28"/>
        </w:rPr>
        <w:t xml:space="preserve">. В г</w:t>
      </w:r>
      <w:r>
        <w:rPr>
          <w:sz w:val="28"/>
          <w:szCs w:val="28"/>
          <w:lang w:val="ru-RU"/>
        </w:rPr>
        <w:t xml:space="preserve">ородах</w:t>
      </w:r>
      <w:r>
        <w:rPr>
          <w:sz w:val="28"/>
          <w:szCs w:val="28"/>
        </w:rPr>
        <w:t xml:space="preserve"> Когалым</w:t>
      </w:r>
      <w:r>
        <w:rPr>
          <w:sz w:val="28"/>
          <w:szCs w:val="28"/>
          <w:lang w:val="ru-RU"/>
        </w:rPr>
        <w:t xml:space="preserve"> и </w:t>
      </w:r>
      <w:r>
        <w:rPr>
          <w:sz w:val="28"/>
          <w:szCs w:val="28"/>
        </w:rPr>
        <w:t xml:space="preserve">Покачи и</w:t>
      </w:r>
      <w:r>
        <w:rPr>
          <w:sz w:val="28"/>
          <w:szCs w:val="28"/>
          <w:lang w:val="ru-RU"/>
        </w:rPr>
        <w:t xml:space="preserve"> в</w:t>
      </w:r>
      <w:r>
        <w:rPr>
          <w:sz w:val="28"/>
          <w:szCs w:val="28"/>
        </w:rPr>
        <w:t xml:space="preserve">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на 0,9%, на 1,6% и на 1,4% </w:t>
      </w:r>
      <w:r>
        <w:rPr>
          <w:sz w:val="28"/>
          <w:szCs w:val="28"/>
          <w:lang w:val="ru-RU"/>
        </w:rPr>
        <w:t xml:space="preserve">соответственно</w:t>
      </w:r>
      <w:r>
        <w:rPr>
          <w:sz w:val="28"/>
          <w:szCs w:val="28"/>
        </w:rPr>
        <w:t xml:space="preserve">. В Белоярском и Кондинском районах сохраняется болезненность наркоманией на уровне 2023 года. В других муниципальных образованиях автономного округа отмечается снижение уровня болезненности наркоманией.</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тоже время отмечается превышение уровня окружного показателя болезн</w:t>
      </w:r>
      <w:r>
        <w:rPr>
          <w:sz w:val="28"/>
          <w:szCs w:val="28"/>
        </w:rPr>
        <w:t xml:space="preserve">енности наркоманией в </w:t>
      </w:r>
      <w:r>
        <w:rPr>
          <w:sz w:val="28"/>
          <w:szCs w:val="28"/>
        </w:rPr>
        <w:t xml:space="preserve">Югорск</w:t>
      </w:r>
      <w:r>
        <w:rPr>
          <w:sz w:val="28"/>
          <w:szCs w:val="28"/>
        </w:rPr>
        <w:t xml:space="preserve">е</w:t>
      </w:r>
      <w:r>
        <w:rPr>
          <w:sz w:val="28"/>
          <w:szCs w:val="28"/>
        </w:rPr>
        <w:t xml:space="preserve"> и в Советском районе в 2,3 раза</w:t>
      </w:r>
      <w:r>
        <w:rPr>
          <w:sz w:val="28"/>
          <w:szCs w:val="28"/>
          <w:lang w:val="ru-RU"/>
        </w:rPr>
        <w:t xml:space="preserve">,</w:t>
      </w:r>
      <w:r>
        <w:rPr>
          <w:sz w:val="28"/>
          <w:szCs w:val="28"/>
        </w:rPr>
        <w:t xml:space="preserve"> </w:t>
      </w:r>
      <w:r>
        <w:rPr>
          <w:sz w:val="28"/>
          <w:szCs w:val="28"/>
          <w:lang w:val="ru-RU"/>
        </w:rPr>
        <w:br/>
      </w:r>
      <w:r>
        <w:rPr>
          <w:sz w:val="28"/>
          <w:szCs w:val="28"/>
        </w:rPr>
        <w:t xml:space="preserve">в </w:t>
      </w:r>
      <w:r>
        <w:rPr>
          <w:sz w:val="28"/>
          <w:szCs w:val="28"/>
        </w:rPr>
        <w:t xml:space="preserve">Ханты-Мансийск</w:t>
      </w:r>
      <w:r>
        <w:rPr>
          <w:sz w:val="28"/>
          <w:szCs w:val="28"/>
        </w:rPr>
        <w:t xml:space="preserve">е</w:t>
      </w:r>
      <w:r>
        <w:rPr>
          <w:sz w:val="28"/>
          <w:szCs w:val="28"/>
        </w:rPr>
        <w:t xml:space="preserve"> в 1,9 раза</w:t>
      </w:r>
      <w:r>
        <w:rPr>
          <w:sz w:val="28"/>
          <w:szCs w:val="28"/>
          <w:lang w:val="ru-RU"/>
        </w:rPr>
        <w:t xml:space="preserve">,</w:t>
      </w:r>
      <w:r>
        <w:rPr>
          <w:sz w:val="28"/>
          <w:szCs w:val="28"/>
        </w:rPr>
        <w:t xml:space="preserve"> в </w:t>
      </w:r>
      <w:r>
        <w:rPr>
          <w:sz w:val="28"/>
          <w:szCs w:val="28"/>
        </w:rPr>
        <w:t xml:space="preserve">Пыть-Ях</w:t>
      </w:r>
      <w:r>
        <w:rPr>
          <w:sz w:val="28"/>
          <w:szCs w:val="28"/>
        </w:rPr>
        <w:t xml:space="preserve">е</w:t>
      </w:r>
      <w:r>
        <w:rPr>
          <w:sz w:val="28"/>
          <w:szCs w:val="28"/>
        </w:rPr>
        <w:t xml:space="preserve"> в 1,7 раза, а также в </w:t>
      </w:r>
      <w:r>
        <w:rPr>
          <w:sz w:val="28"/>
          <w:szCs w:val="28"/>
          <w:lang w:val="ru-RU"/>
        </w:rPr>
        <w:t xml:space="preserve">городах</w:t>
      </w:r>
      <w:r>
        <w:rPr>
          <w:sz w:val="28"/>
          <w:szCs w:val="28"/>
        </w:rPr>
        <w:t xml:space="preserve"> Нижневартовск (на 50,1%), Мегион (на 15,4%) и Нягань (на 6,9%).</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болезненности 58,0 % наркозависимых лиц имеют ди</w:t>
      </w:r>
      <w:r>
        <w:rPr>
          <w:sz w:val="28"/>
          <w:szCs w:val="28"/>
        </w:rPr>
        <w:t xml:space="preserve">агноз полинаркомании (потребление других наркотиков и их сочетаний) (2023 г. – 55,2 %), 25,5 % - зависимость от употребления опиоидов (2023 г.- 28,5 %), 10,1 % - с зависимостью от других психостимуляторов и 6,5 % - с зависимостью от каннабиноидов (в 2023 г</w:t>
      </w:r>
      <w:r>
        <w:rPr>
          <w:sz w:val="28"/>
          <w:szCs w:val="28"/>
          <w:lang w:val="ru-RU"/>
        </w:rPr>
        <w:t xml:space="preserve">.</w:t>
      </w:r>
      <w:r>
        <w:rPr>
          <w:sz w:val="28"/>
          <w:szCs w:val="28"/>
        </w:rPr>
        <w:t xml:space="preserve"> – 9,6 % и 6,7 % соответственно). </w:t>
      </w:r>
      <w:r>
        <w:rPr>
          <w:sz w:val="28"/>
          <w:szCs w:val="28"/>
        </w:rPr>
      </w:r>
      <w:r>
        <w:rPr>
          <w:sz w:val="28"/>
          <w:szCs w:val="28"/>
        </w:rP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автономного округа: в городах Сургут – с 6</w:t>
      </w:r>
      <w:r>
        <w:t xml:space="preserve"> случаев в 2023 году до 25</w:t>
      </w:r>
      <w:r>
        <w:t xml:space="preserve"> новых случаев в 2</w:t>
      </w:r>
      <w:r>
        <w:t xml:space="preserve">024 году; Ханты-Мансийск – с 4 до 14</w:t>
      </w:r>
      <w:r>
        <w:t xml:space="preserve"> </w:t>
      </w:r>
      <w:r>
        <w:t xml:space="preserve">случаев; Нижневартовск – с 11 до 17 случаев; Нефтеюганск – с 3 до 5 </w:t>
      </w:r>
      <w:r>
        <w:t xml:space="preserve">случаев и </w:t>
      </w:r>
      <w:r>
        <w:t xml:space="preserve">в </w:t>
      </w:r>
      <w:r>
        <w:t xml:space="preserve">Ханты-Мансийском районе - с 0 до 1 случая.</w:t>
      </w:r>
      <w:r/>
    </w:p>
    <w:p>
      <w:pPr>
        <w:ind w:firstLine="709"/>
        <w:spacing w:line="276" w:lineRule="auto"/>
      </w:pPr>
      <w:r>
        <w:t xml:space="preserve">В </w:t>
      </w:r>
      <w:r>
        <w:t xml:space="preserve">Няган</w:t>
      </w:r>
      <w:r>
        <w:t xml:space="preserve">и</w:t>
      </w:r>
      <w:r>
        <w:t xml:space="preserve">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w:t>
      </w:r>
      <w:r>
        <w:t xml:space="preserve">олеваемости наркоманией на 2,2%</w:t>
      </w:r>
      <w:r>
        <w:t xml:space="preserve">.</w:t>
      </w:r>
      <w:r/>
    </w:p>
    <w:p>
      <w:pPr>
        <w:ind w:firstLine="709"/>
        <w:spacing w:line="276" w:lineRule="auto"/>
      </w:pPr>
      <w:r>
        <w:t xml:space="preserve">В </w:t>
      </w:r>
      <w:r>
        <w:t xml:space="preserve">Радужн</w:t>
      </w:r>
      <w:r>
        <w:t xml:space="preserve">ом</w:t>
      </w:r>
      <w:r>
        <w:t xml:space="preserve">, Белоярском, Кондинском,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r/>
    </w:p>
    <w:p>
      <w:pPr>
        <w:pStyle w:val="1661"/>
        <w:ind w:firstLine="709"/>
        <w:jc w:val="both"/>
        <w:spacing w:after="0" w:line="276" w:lineRule="auto"/>
        <w:rPr>
          <w:sz w:val="28"/>
          <w:szCs w:val="28"/>
        </w:rPr>
      </w:pPr>
      <w:r>
        <w:rPr>
          <w:sz w:val="28"/>
          <w:szCs w:val="28"/>
        </w:rPr>
        <w:t xml:space="preserve">Наиболее значимый прирост первичной заболеваемости наркоманией отмечен в наиболее кру</w:t>
      </w:r>
      <w:r>
        <w:rPr>
          <w:sz w:val="28"/>
          <w:szCs w:val="28"/>
        </w:rPr>
        <w:t xml:space="preserve">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r>
        <w:rPr>
          <w:sz w:val="28"/>
          <w:szCs w:val="28"/>
        </w:rPr>
      </w:r>
    </w:p>
    <w:p>
      <w:pPr>
        <w:ind w:firstLine="709"/>
        <w:spacing w:line="276" w:lineRule="auto"/>
      </w:pPr>
      <w:r>
        <w:t xml:space="preserve">В тоже время отмечается превышение уровня окружного показателя первичной заболеваемости наркоман</w:t>
      </w:r>
      <w:r>
        <w:t xml:space="preserve">ией в </w:t>
      </w:r>
      <w:r>
        <w:t xml:space="preserve">Ханты-Мансийск</w:t>
      </w:r>
      <w:r>
        <w:t xml:space="preserve">е</w:t>
      </w:r>
      <w:r>
        <w:t xml:space="preserve"> в 2,4 раза, в Сургутском районе в 1,6 раза, </w:t>
      </w:r>
      <w:r>
        <w:t xml:space="preserve">а также в </w:t>
      </w:r>
      <w:r>
        <w:t xml:space="preserve">Ура</w:t>
      </w:r>
      <w:r>
        <w:t xml:space="preserve">е</w:t>
      </w:r>
      <w:r>
        <w:t xml:space="preserve"> (на 40,4%), </w:t>
      </w:r>
      <w:r>
        <w:t xml:space="preserve">Мегион</w:t>
      </w:r>
      <w:r>
        <w:t xml:space="preserve">е</w:t>
      </w:r>
      <w:r>
        <w:t xml:space="preserve"> (на 28,8%), Советском районе (</w:t>
      </w:r>
      <w:r>
        <w:t xml:space="preserve">на</w:t>
      </w:r>
      <w:r>
        <w:t xml:space="preserve"> 25,0%), </w:t>
      </w:r>
      <w:r>
        <w:t xml:space="preserve">в городах</w:t>
      </w:r>
      <w:r>
        <w:t xml:space="preserve"> Нижневартовск и Сургут (на 13,5% соответственно) и Ханты-Мансийском районе (</w:t>
      </w:r>
      <w:r>
        <w:t xml:space="preserve">на</w:t>
      </w:r>
      <w:r>
        <w:t xml:space="preserve"> 1,9%).</w:t>
      </w:r>
      <w:r/>
    </w:p>
    <w:p>
      <w:pPr>
        <w:ind w:firstLine="709"/>
        <w:spacing w:line="276" w:lineRule="auto"/>
      </w:pPr>
      <w:r>
        <w:t xml:space="preserve">Количество лиц, зарегистрированных впервые в жизни с диагнозом наркомания в 2024 году в абсолютных показателях</w:t>
      </w:r>
      <w:r>
        <w:t xml:space="preserve">,</w:t>
      </w:r>
      <w:r>
        <w:t xml:space="preserve"> следующее: </w:t>
      </w:r>
      <w:r>
        <w:t xml:space="preserve">Сургут – 25 человек; </w:t>
      </w:r>
      <w:r>
        <w:t xml:space="preserve">Нижневартовск - 17 человек; </w:t>
      </w:r>
      <w:r>
        <w:t xml:space="preserve">Ханты-Мансийск - 14 человек; Сургутский район – 11 человек; </w:t>
      </w:r>
      <w:r>
        <w:t xml:space="preserve">Нефтеюганск – 5 человек; </w:t>
      </w:r>
      <w:r>
        <w:t xml:space="preserve">Мегион – 4 человека.</w:t>
      </w:r>
      <w:r>
        <w:t xml:space="preserve">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Снижение первичной заболеваемости наркоманией </w:t>
      </w:r>
      <w:r>
        <w:t xml:space="preserve">за год </w:t>
      </w:r>
      <w:r>
        <w:t xml:space="preserve">зафиксировано в 12-ти из 22 муниципальных образований: </w:t>
      </w:r>
      <w:r>
        <w:rPr>
          <w:color w:val="000000"/>
        </w:rPr>
        <w:t xml:space="preserve">Лангепас </w:t>
      </w:r>
      <w:r>
        <w:t xml:space="preserve">– на 70,9 %</w:t>
      </w:r>
      <w:r>
        <w:rPr>
          <w:color w:val="000000"/>
        </w:rPr>
        <w:t xml:space="preserve">; </w:t>
      </w:r>
      <w:r>
        <w:rPr>
          <w:color w:val="000000"/>
        </w:rPr>
        <w:t xml:space="preserve">К</w:t>
      </w:r>
      <w:r>
        <w:rPr>
          <w:color w:val="000000"/>
        </w:rPr>
        <w:t xml:space="preserve">огалым</w:t>
      </w:r>
      <w:r>
        <w:rPr>
          <w:color w:val="000000"/>
        </w:rPr>
        <w:t xml:space="preserve"> </w:t>
      </w:r>
      <w:r>
        <w:t xml:space="preserve">– на 66,0 %</w:t>
      </w:r>
      <w:r>
        <w:t xml:space="preserve">; </w:t>
      </w:r>
      <w:r>
        <w:rPr>
          <w:color w:val="000000"/>
        </w:rPr>
        <w:t xml:space="preserve">Ура</w:t>
      </w:r>
      <w:r>
        <w:rPr>
          <w:color w:val="000000"/>
        </w:rPr>
        <w:t xml:space="preserve">й</w:t>
      </w:r>
      <w:r>
        <w:rPr>
          <w:color w:val="000000"/>
        </w:rPr>
        <w:t xml:space="preserve"> </w:t>
      </w:r>
      <w:r>
        <w:t xml:space="preserve">– на 57,1 %</w:t>
      </w:r>
      <w:r>
        <w:t xml:space="preserve">; </w:t>
      </w:r>
      <w:r>
        <w:rPr>
          <w:color w:val="000000"/>
        </w:rPr>
        <w:t xml:space="preserve">Нижневартовск</w:t>
      </w:r>
      <w:r>
        <w:rPr>
          <w:color w:val="000000"/>
        </w:rPr>
        <w:t xml:space="preserve">ий район</w:t>
      </w:r>
      <w:r>
        <w:rPr>
          <w:color w:val="000000"/>
        </w:rPr>
        <w:t xml:space="preserve"> </w:t>
      </w:r>
      <w:r>
        <w:t xml:space="preserve">– на 33,3 %</w:t>
      </w:r>
      <w:r>
        <w:t xml:space="preserve">; </w:t>
      </w:r>
      <w:r>
        <w:rPr>
          <w:color w:val="000000"/>
        </w:rPr>
        <w:t xml:space="preserve">Советск</w:t>
      </w:r>
      <w:r>
        <w:rPr>
          <w:color w:val="000000"/>
        </w:rPr>
        <w:t xml:space="preserve">ий район</w:t>
      </w:r>
      <w:r>
        <w:rPr>
          <w:color w:val="000000"/>
        </w:rPr>
        <w:t xml:space="preserve"> </w:t>
      </w:r>
      <w:r>
        <w:t xml:space="preserve">– на 24,4 %</w:t>
      </w:r>
      <w:r>
        <w:t xml:space="preserve">; </w:t>
      </w:r>
      <w:r>
        <w:rPr>
          <w:color w:val="000000"/>
        </w:rPr>
        <w:t xml:space="preserve">Сургутск</w:t>
      </w:r>
      <w:r>
        <w:rPr>
          <w:color w:val="000000"/>
        </w:rPr>
        <w:t xml:space="preserve">ий район</w:t>
      </w:r>
      <w:r>
        <w:rPr>
          <w:color w:val="000000"/>
        </w:rPr>
        <w:t xml:space="preserve"> </w:t>
      </w:r>
      <w:r>
        <w:t xml:space="preserve">– на 22,7 %</w:t>
      </w:r>
      <w:r>
        <w:t xml:space="preserve">; </w:t>
      </w:r>
      <w:r>
        <w:rPr>
          <w:color w:val="000000"/>
        </w:rPr>
        <w:t xml:space="preserve">Мегион</w:t>
      </w:r>
      <w:r>
        <w:rPr>
          <w:color w:val="000000"/>
        </w:rPr>
        <w:t xml:space="preserve"> </w:t>
      </w:r>
      <w:r>
        <w:t xml:space="preserve">– </w:t>
      </w:r>
      <w:r>
        <w:t xml:space="preserve">на</w:t>
      </w:r>
      <w:r>
        <w:t xml:space="preserve"> 20,2 %</w:t>
      </w:r>
      <w:r>
        <w:t xml:space="preserve">.</w:t>
      </w:r>
      <w:r/>
    </w:p>
    <w:p>
      <w:pPr>
        <w:ind w:firstLine="709"/>
        <w:spacing w:line="276" w:lineRule="auto"/>
      </w:pPr>
      <w:r>
        <w:t xml:space="preserve">В </w:t>
      </w:r>
      <w:r>
        <w:t xml:space="preserve">городах</w:t>
      </w:r>
      <w:r>
        <w:t xml:space="preserve"> Покачи, Пыть-Ях, Югорск и Березовском районе в 2024 году первичная заболеваемость наркоманией не зарегистрирована, тогда как в 2023 году она составляла 6,1; 5,0; 7,7 и 8,6 на 100 </w:t>
      </w:r>
      <w:r>
        <w:t xml:space="preserve">тыс. </w:t>
      </w:r>
      <w:r>
        <w:t xml:space="preserve">населения соответственно</w:t>
      </w:r>
      <w:r>
        <w:t xml:space="preserve">.</w:t>
      </w:r>
      <w:r/>
    </w:p>
    <w:p>
      <w:pPr>
        <w:pStyle w:val="1661"/>
        <w:ind w:firstLine="709"/>
        <w:jc w:val="both"/>
        <w:spacing w:after="0" w:line="276" w:lineRule="auto"/>
        <w:rPr>
          <w:sz w:val="28"/>
          <w:szCs w:val="28"/>
        </w:rPr>
      </w:pPr>
      <w:r>
        <w:rPr>
          <w:sz w:val="28"/>
          <w:szCs w:val="28"/>
        </w:rPr>
        <w:t xml:space="preserve">Из общего числа впервые заболевших н</w:t>
      </w:r>
      <w:r>
        <w:rPr>
          <w:sz w:val="28"/>
          <w:szCs w:val="28"/>
        </w:rPr>
        <w:t xml:space="preserve">аркоманией в 2024 году у 71,4 % больных установлен диагноз «полинаркомания» (2023 г. – 79,5%); «</w:t>
      </w:r>
      <w:r>
        <w:rPr>
          <w:sz w:val="28"/>
          <w:szCs w:val="28"/>
        </w:rPr>
        <w:t xml:space="preserve">з</w:t>
      </w:r>
      <w:r>
        <w:rPr>
          <w:sz w:val="28"/>
          <w:szCs w:val="28"/>
        </w:rPr>
        <w:t xml:space="preserve">ависимость от психостимуляторов» – 18,7 % (2023 г. – 11,5%); «зависимость от каннабиноидов» – 5,5 % (2023 г. – 6,4%); диагноз «зависимость от опиатов» (героин,</w:t>
      </w:r>
      <w:r>
        <w:rPr>
          <w:color w:val="0000ff"/>
          <w:sz w:val="28"/>
          <w:szCs w:val="28"/>
        </w:rPr>
        <w:t xml:space="preserve"> </w:t>
      </w:r>
      <w:r>
        <w:rPr>
          <w:sz w:val="28"/>
          <w:szCs w:val="28"/>
        </w:rPr>
        <w:t xml:space="preserve">морфин, дезоморфин) – 4,4 % случаев (2023 г. – 2,6%). </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Таким образом, в 2024 го</w:t>
      </w:r>
      <w:r>
        <w:rPr>
          <w:sz w:val="28"/>
          <w:szCs w:val="28"/>
        </w:rPr>
        <w:t xml:space="preserve">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психостимуляторов и опиоидов.</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структуре первичной заболеваемости наркоманией за 2024 год, также как в 2023 году несовершеннолетних зарегистрировано не было.</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Рассматривая динамику показателей общей и первичной заболеваемости нарком</w:t>
      </w:r>
      <w:r>
        <w:rPr>
          <w:sz w:val="28"/>
          <w:szCs w:val="28"/>
        </w:rPr>
        <w:t xml:space="preserve">анией за 2024 год, можно сделать следующие выводы. 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w:t>
      </w:r>
      <w:r>
        <w:rPr>
          <w:sz w:val="28"/>
          <w:szCs w:val="28"/>
        </w:rPr>
        <w:t xml:space="preserve">ее среди несовершеннолетних за последние 3 года.</w:t>
      </w:r>
      <w:r>
        <w:rPr>
          <w:sz w:val="28"/>
          <w:szCs w:val="28"/>
        </w:rPr>
      </w:r>
      <w:r>
        <w:rPr>
          <w:sz w:val="28"/>
          <w:szCs w:val="28"/>
        </w:rPr>
      </w:r>
    </w:p>
    <w:p>
      <w:pPr>
        <w:ind w:firstLine="709"/>
        <w:spacing w:line="276" w:lineRule="auto"/>
      </w:pPr>
      <w:r>
        <w:t xml:space="preserve">Важное значение</w:t>
      </w:r>
      <w:r>
        <w:t xml:space="preserve"> в улучшении наркоситуации</w:t>
      </w:r>
      <w:r>
        <w:t xml:space="preserve"> </w:t>
      </w:r>
      <w:r>
        <w:t xml:space="preserve">имеет </w:t>
      </w:r>
      <w:r>
        <w:t xml:space="preserve">межведомственно</w:t>
      </w:r>
      <w:r>
        <w:t xml:space="preserve">е </w:t>
      </w:r>
      <w:r>
        <w:t xml:space="preserve">сотрудничества органов профилактики с представителями СМИ и информационного пространства, включая средства массовой информации, рекламные агентства, блогеров, полиграфические компании и другие. </w:t>
      </w:r>
      <w:r>
        <w:t xml:space="preserve">Это сотрудничество направлено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w:t>
      </w:r>
      <w:r>
        <w:t xml:space="preserve">, а также на просвещение</w:t>
      </w:r>
      <w:r>
        <w:t xml:space="preserve"> население о последствиях и ответственности за незаконный оборот психоактивных веществ, включая административные и уголовные наказания, проблемы в семье, трудовую дезадаптацию и личностную деградацию.</w:t>
      </w:r>
      <w:r/>
    </w:p>
    <w:p>
      <w:pPr>
        <w:ind w:firstLine="709"/>
        <w:spacing w:line="276" w:lineRule="auto"/>
      </w:pPr>
      <w:r>
        <w:t xml:space="preserve">Кроме того, значимую роль </w:t>
      </w:r>
      <w:r>
        <w:t xml:space="preserve">сыграли</w:t>
      </w:r>
      <w:r>
        <w:t xml:space="preserve"> мероприятия, проводимые правоохранительными орг</w:t>
      </w:r>
      <w:r>
        <w:t xml:space="preserve">анами, по предотвращению ввоза и выявлению каналов сбыта наркотических средств в автономном округе, обнаружению наркопотребителей, а также выявлению и пресечению способов рекламы и информирования о незаконной деятельности в социальных сетях и мессенджерах.</w:t>
      </w:r>
      <w:r/>
    </w:p>
    <w:p>
      <w:pPr>
        <w:pStyle w:val="1659"/>
        <w:ind w:firstLine="709"/>
        <w:jc w:val="both"/>
        <w:spacing w:after="0" w:line="276" w:lineRule="auto"/>
        <w:widowControl w:val="off"/>
        <w:rPr>
          <w:sz w:val="28"/>
          <w:szCs w:val="28"/>
        </w:rPr>
      </w:pPr>
      <w:r>
        <w:rPr>
          <w:sz w:val="28"/>
          <w:szCs w:val="28"/>
        </w:rPr>
        <w:t xml:space="preserve">Меры, направленные на снижение распространения наркопотребл</w:t>
      </w:r>
      <w:r>
        <w:rPr>
          <w:sz w:val="28"/>
          <w:szCs w:val="28"/>
        </w:rPr>
        <w:t xml:space="preserve">ения,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Рост числа впервые выявленных потребителей наркотиков с синдромом зависимости, к</w:t>
      </w:r>
      <w:r>
        <w:rPr>
          <w:sz w:val="28"/>
          <w:szCs w:val="28"/>
        </w:rPr>
        <w:t xml:space="preserve">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w:t>
      </w:r>
      <w:r>
        <w:rPr>
          <w:sz w:val="28"/>
          <w:szCs w:val="28"/>
        </w:rPr>
        <w:t xml:space="preserve">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r>
        <w:rPr>
          <w:sz w:val="28"/>
          <w:szCs w:val="28"/>
        </w:rPr>
      </w:r>
      <w:r>
        <w:rPr>
          <w:sz w:val="28"/>
          <w:szCs w:val="28"/>
        </w:rPr>
      </w:r>
    </w:p>
    <w:p>
      <w:pPr>
        <w:pStyle w:val="1659"/>
        <w:ind w:firstLine="709"/>
        <w:jc w:val="both"/>
        <w:spacing w:after="0" w:line="276"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В разрезе муниципальных образований увеличения показателя распространенности пагубного употребления наркотиков среди </w:t>
      </w:r>
      <w:r>
        <w:rPr>
          <w:sz w:val="28"/>
          <w:szCs w:val="28"/>
        </w:rPr>
        <w:t xml:space="preserve">несовершеннолетних зарегистрировано в шести муниципальных образованиях: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г. Радужн</w:t>
      </w:r>
      <w:r>
        <w:rPr>
          <w:sz w:val="28"/>
          <w:szCs w:val="28"/>
          <w:lang w:val="ru-RU"/>
        </w:rPr>
        <w:t xml:space="preserve">ый</w:t>
      </w:r>
      <w:r>
        <w:rPr>
          <w:sz w:val="28"/>
          <w:szCs w:val="28"/>
        </w:rPr>
        <w:t xml:space="preserve"> </w:t>
      </w:r>
      <w:r>
        <w:rPr>
          <w:color w:val="000000"/>
          <w:sz w:val="28"/>
          <w:szCs w:val="28"/>
        </w:rPr>
        <w:t xml:space="preserve">с 0 до 2 случаев (15,4 на 100 </w:t>
      </w:r>
      <w:r>
        <w:rPr>
          <w:color w:val="000000"/>
          <w:sz w:val="28"/>
          <w:szCs w:val="28"/>
        </w:rPr>
        <w:t xml:space="preserve">тыс. </w:t>
      </w:r>
      <w:r>
        <w:rPr>
          <w:color w:val="000000"/>
          <w:sz w:val="28"/>
          <w:szCs w:val="28"/>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г. Покачи </w:t>
      </w:r>
      <w:r>
        <w:rPr>
          <w:color w:val="000000"/>
          <w:sz w:val="28"/>
          <w:szCs w:val="28"/>
        </w:rPr>
        <w:t xml:space="preserve">с 0 до 1 случая (20,8 на 100 </w:t>
      </w:r>
      <w:r>
        <w:rPr>
          <w:color w:val="000000"/>
          <w:sz w:val="28"/>
          <w:szCs w:val="28"/>
        </w:rPr>
        <w:t xml:space="preserve">тыс. </w:t>
      </w:r>
      <w:r>
        <w:rPr>
          <w:color w:val="000000"/>
          <w:sz w:val="28"/>
          <w:szCs w:val="28"/>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г. Няган</w:t>
      </w:r>
      <w:r>
        <w:rPr>
          <w:sz w:val="28"/>
          <w:szCs w:val="28"/>
          <w:lang w:val="ru-RU"/>
        </w:rPr>
        <w:t xml:space="preserve">ь</w:t>
      </w:r>
      <w:r>
        <w:rPr>
          <w:sz w:val="28"/>
          <w:szCs w:val="28"/>
        </w:rPr>
        <w:t xml:space="preserve"> </w:t>
      </w:r>
      <w:r>
        <w:rPr>
          <w:color w:val="000000"/>
          <w:sz w:val="28"/>
          <w:szCs w:val="28"/>
        </w:rPr>
        <w:t xml:space="preserve">с 0 до 1 случая (6,1 на 100 </w:t>
      </w:r>
      <w:r>
        <w:rPr>
          <w:color w:val="000000"/>
          <w:sz w:val="28"/>
          <w:szCs w:val="28"/>
        </w:rPr>
        <w:t xml:space="preserve">тыс. </w:t>
      </w:r>
      <w:r>
        <w:rPr>
          <w:color w:val="000000"/>
          <w:sz w:val="28"/>
          <w:szCs w:val="28"/>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г. Когалым</w:t>
      </w:r>
      <w:r>
        <w:rPr>
          <w:sz w:val="28"/>
          <w:szCs w:val="28"/>
        </w:rPr>
        <w:t xml:space="preserve"> </w:t>
      </w:r>
      <w:r>
        <w:rPr>
          <w:color w:val="000000"/>
          <w:sz w:val="28"/>
          <w:szCs w:val="28"/>
        </w:rPr>
        <w:t xml:space="preserve">с 0 до 1 случая (5,8 на 100 </w:t>
      </w:r>
      <w:r>
        <w:rPr>
          <w:color w:val="000000"/>
          <w:sz w:val="28"/>
          <w:szCs w:val="28"/>
        </w:rPr>
        <w:t xml:space="preserve">тыс. </w:t>
      </w:r>
      <w:r>
        <w:rPr>
          <w:color w:val="000000"/>
          <w:sz w:val="28"/>
          <w:szCs w:val="28"/>
        </w:rPr>
        <w:t xml:space="preserve">несовершеннолетних);</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г. Ханты-Мансийск</w:t>
      </w:r>
      <w:r>
        <w:rPr>
          <w:sz w:val="28"/>
          <w:szCs w:val="28"/>
        </w:rPr>
        <w:t xml:space="preserve"> </w:t>
      </w:r>
      <w:r>
        <w:rPr>
          <w:color w:val="000000"/>
          <w:sz w:val="28"/>
          <w:szCs w:val="28"/>
        </w:rPr>
        <w:t xml:space="preserve">с 0 до 1 случая (3,8 на 100 </w:t>
      </w:r>
      <w:r>
        <w:rPr>
          <w:color w:val="000000"/>
          <w:sz w:val="28"/>
          <w:szCs w:val="28"/>
        </w:rPr>
        <w:t xml:space="preserve">тыс. </w:t>
      </w:r>
      <w:r>
        <w:rPr>
          <w:color w:val="000000"/>
          <w:sz w:val="28"/>
          <w:szCs w:val="28"/>
        </w:rPr>
        <w:t xml:space="preserve">несовершеннолетних);</w:t>
      </w:r>
      <w:r>
        <w:rPr>
          <w:sz w:val="28"/>
          <w:szCs w:val="28"/>
        </w:rPr>
      </w:r>
      <w:r>
        <w:rPr>
          <w:sz w:val="28"/>
          <w:szCs w:val="28"/>
        </w:rPr>
      </w:r>
    </w:p>
    <w:p>
      <w:pPr>
        <w:pStyle w:val="1661"/>
        <w:ind w:firstLine="709"/>
        <w:jc w:val="both"/>
        <w:spacing w:after="0" w:line="276" w:lineRule="auto"/>
        <w:rPr>
          <w:color w:val="000000"/>
          <w:sz w:val="28"/>
          <w:szCs w:val="28"/>
        </w:rPr>
      </w:pPr>
      <w:r>
        <w:rPr>
          <w:sz w:val="28"/>
          <w:szCs w:val="28"/>
        </w:rPr>
        <w:t xml:space="preserve">г. Нижневартовск</w:t>
      </w:r>
      <w:r>
        <w:rPr>
          <w:sz w:val="28"/>
          <w:szCs w:val="28"/>
        </w:rPr>
        <w:t xml:space="preserve"> </w:t>
      </w:r>
      <w:r>
        <w:rPr>
          <w:color w:val="000000"/>
          <w:sz w:val="28"/>
          <w:szCs w:val="28"/>
        </w:rPr>
        <w:t xml:space="preserve">с 0 до 1 случая (1,5 на 100 </w:t>
      </w:r>
      <w:r>
        <w:rPr>
          <w:color w:val="000000"/>
          <w:sz w:val="28"/>
          <w:szCs w:val="28"/>
        </w:rPr>
        <w:t xml:space="preserve">тыс. </w:t>
      </w:r>
      <w:r>
        <w:rPr>
          <w:color w:val="000000"/>
          <w:sz w:val="28"/>
          <w:szCs w:val="28"/>
        </w:rPr>
        <w:t xml:space="preserve">несовершеннолетних).</w:t>
      </w:r>
      <w:r>
        <w:rPr>
          <w:color w:val="000000"/>
          <w:sz w:val="28"/>
          <w:szCs w:val="28"/>
        </w:rPr>
      </w:r>
      <w:r>
        <w:rPr>
          <w:color w:val="000000"/>
          <w:sz w:val="28"/>
          <w:szCs w:val="28"/>
        </w:rPr>
      </w:r>
    </w:p>
    <w:p>
      <w:pPr>
        <w:pStyle w:val="1661"/>
        <w:ind w:firstLine="709"/>
        <w:jc w:val="both"/>
        <w:spacing w:after="0" w:line="276" w:lineRule="auto"/>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r>
        <w:rPr>
          <w:sz w:val="28"/>
          <w:szCs w:val="28"/>
        </w:rPr>
      </w:r>
      <w:r>
        <w:rPr>
          <w:sz w:val="28"/>
          <w:szCs w:val="28"/>
        </w:rPr>
      </w:r>
    </w:p>
    <w:p>
      <w:pPr>
        <w:pStyle w:val="1661"/>
        <w:ind w:firstLine="709"/>
        <w:jc w:val="both"/>
        <w:spacing w:after="0" w:line="276" w:lineRule="auto"/>
        <w:rPr>
          <w:color w:val="000000"/>
          <w:sz w:val="28"/>
          <w:szCs w:val="28"/>
        </w:rPr>
      </w:pPr>
      <w:r>
        <w:rPr>
          <w:color w:val="000000"/>
          <w:sz w:val="28"/>
          <w:szCs w:val="28"/>
        </w:rPr>
        <w:t xml:space="preserve">г. Сургут </w:t>
      </w:r>
      <w:r>
        <w:rPr>
          <w:sz w:val="28"/>
          <w:szCs w:val="28"/>
        </w:rPr>
        <w:t xml:space="preserve">– </w:t>
      </w:r>
      <w:r>
        <w:rPr>
          <w:color w:val="000000"/>
          <w:sz w:val="28"/>
          <w:szCs w:val="28"/>
        </w:rPr>
        <w:t xml:space="preserve">с 11 случаев (10,6 на 100 </w:t>
      </w:r>
      <w:r>
        <w:rPr>
          <w:color w:val="000000"/>
          <w:sz w:val="28"/>
          <w:szCs w:val="28"/>
        </w:rPr>
        <w:t xml:space="preserve">тыс. </w:t>
      </w:r>
      <w:r>
        <w:rPr>
          <w:color w:val="000000"/>
          <w:sz w:val="28"/>
          <w:szCs w:val="28"/>
        </w:rPr>
        <w:t xml:space="preserve">несовершеннолетних) до 9 случаев (8,5 на 100 </w:t>
      </w:r>
      <w:r>
        <w:rPr>
          <w:color w:val="000000"/>
          <w:sz w:val="28"/>
          <w:szCs w:val="28"/>
        </w:rPr>
        <w:t xml:space="preserve">тыс. </w:t>
      </w:r>
      <w:r>
        <w:rPr>
          <w:color w:val="000000"/>
          <w:sz w:val="28"/>
          <w:szCs w:val="28"/>
        </w:rPr>
        <w:t xml:space="preserve">несовершеннолетних);</w:t>
      </w:r>
      <w:r>
        <w:rPr>
          <w:color w:val="000000"/>
          <w:sz w:val="28"/>
          <w:szCs w:val="28"/>
        </w:rPr>
      </w:r>
      <w:r>
        <w:rPr>
          <w:color w:val="000000"/>
          <w:sz w:val="28"/>
          <w:szCs w:val="28"/>
        </w:rPr>
      </w:r>
    </w:p>
    <w:p>
      <w:pPr>
        <w:pStyle w:val="1661"/>
        <w:ind w:firstLine="709"/>
        <w:jc w:val="both"/>
        <w:spacing w:after="0" w:line="276" w:lineRule="auto"/>
        <w:rPr>
          <w:color w:val="000000"/>
          <w:sz w:val="28"/>
          <w:szCs w:val="28"/>
        </w:rPr>
      </w:pPr>
      <w:r>
        <w:rPr>
          <w:color w:val="000000"/>
          <w:sz w:val="28"/>
          <w:szCs w:val="28"/>
        </w:rPr>
        <w:t xml:space="preserve">Сургутский район </w:t>
      </w:r>
      <w:r>
        <w:rPr>
          <w:sz w:val="28"/>
          <w:szCs w:val="28"/>
        </w:rPr>
        <w:t xml:space="preserve">– </w:t>
      </w:r>
      <w:r>
        <w:rPr>
          <w:color w:val="000000"/>
          <w:sz w:val="28"/>
          <w:szCs w:val="28"/>
        </w:rPr>
        <w:t xml:space="preserve">с 6 случаев (16,6 на 100 </w:t>
      </w:r>
      <w:r>
        <w:rPr>
          <w:color w:val="000000"/>
          <w:sz w:val="28"/>
          <w:szCs w:val="28"/>
        </w:rPr>
        <w:t xml:space="preserve">тыс. </w:t>
      </w:r>
      <w:r>
        <w:rPr>
          <w:color w:val="000000"/>
          <w:sz w:val="28"/>
          <w:szCs w:val="28"/>
        </w:rPr>
        <w:t xml:space="preserve">несовершеннолетних) до 4 случаев (10,9 на 100 </w:t>
      </w:r>
      <w:r>
        <w:rPr>
          <w:color w:val="000000"/>
          <w:sz w:val="28"/>
          <w:szCs w:val="28"/>
        </w:rPr>
        <w:t xml:space="preserve">тыс. </w:t>
      </w:r>
      <w:r>
        <w:rPr>
          <w:color w:val="000000"/>
          <w:sz w:val="28"/>
          <w:szCs w:val="28"/>
        </w:rPr>
        <w:t xml:space="preserve">несовершеннолетних).</w:t>
      </w:r>
      <w:r>
        <w:rPr>
          <w:color w:val="000000"/>
          <w:sz w:val="28"/>
          <w:szCs w:val="28"/>
        </w:rPr>
      </w:r>
      <w:r>
        <w:rPr>
          <w:color w:val="000000"/>
          <w:sz w:val="28"/>
          <w:szCs w:val="28"/>
        </w:rPr>
      </w:r>
    </w:p>
    <w:p>
      <w:pPr>
        <w:pStyle w:val="1661"/>
        <w:ind w:firstLine="709"/>
        <w:jc w:val="both"/>
        <w:spacing w:after="0" w:line="276" w:lineRule="auto"/>
        <w:rPr>
          <w:color w:val="000000"/>
          <w:sz w:val="28"/>
          <w:szCs w:val="28"/>
        </w:rPr>
      </w:pPr>
      <w:r>
        <w:rPr>
          <w:color w:val="000000"/>
          <w:sz w:val="28"/>
          <w:szCs w:val="28"/>
        </w:rPr>
        <w:t xml:space="preserve">В других муниципальных образованиях распространённость пагубного употребления наркотиков среди несовершеннолетних не зарегистрирована в 2023-2024 годах.</w:t>
      </w:r>
      <w:r>
        <w:rPr>
          <w:color w:val="000000"/>
          <w:sz w:val="28"/>
          <w:szCs w:val="28"/>
        </w:rPr>
      </w:r>
      <w:r>
        <w:rPr>
          <w:color w:val="000000"/>
          <w:sz w:val="28"/>
          <w:szCs w:val="28"/>
        </w:rP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r/>
    </w:p>
    <w:p>
      <w:pPr>
        <w:ind w:firstLine="709"/>
        <w:spacing w:line="276" w:lineRule="auto"/>
        <w:rPr>
          <w:color w:val="000000"/>
        </w:rPr>
      </w:pPr>
      <w:r>
        <w:t xml:space="preserve">в г. Ханты-Мансийск</w:t>
      </w:r>
      <w:r>
        <w:t xml:space="preserve">е</w:t>
      </w:r>
      <w:r>
        <w:t xml:space="preserve"> увеличение с 2 случаев в 2023 году (1,8 на 100 </w:t>
      </w:r>
      <w:r>
        <w:t xml:space="preserve">тыс. </w:t>
      </w:r>
      <w:r>
        <w:t xml:space="preserve">населения) до 7 случаев в 2024 году (6,3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Кондинском районе увеличение с 2 случаев в 2023 году (6,6 на 100 </w:t>
      </w:r>
      <w:r>
        <w:t xml:space="preserve">тыс. </w:t>
      </w:r>
      <w:r>
        <w:t xml:space="preserve">населения) до 6 случаев в 2024 году (19,7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Нижневартовск</w:t>
      </w:r>
      <w:r>
        <w:t xml:space="preserve">е</w:t>
      </w:r>
      <w:r>
        <w:t xml:space="preserve"> увеличение с 10 случаев в 2023 году (3,5 на 100 </w:t>
      </w:r>
      <w:r>
        <w:t xml:space="preserve">тыс. </w:t>
      </w:r>
      <w:r>
        <w:t xml:space="preserve">населения) до 13 случаев в 2024 году (4,5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w:t>
      </w:r>
      <w:r>
        <w:t xml:space="preserve">Радужн</w:t>
      </w:r>
      <w:r>
        <w:t xml:space="preserve">ом</w:t>
      </w:r>
      <w:r>
        <w:t xml:space="preserve"> увеличение с 3 случаев в 2023 году (6,7 на 100 </w:t>
      </w:r>
      <w:r>
        <w:t xml:space="preserve">тыс. </w:t>
      </w:r>
      <w:r>
        <w:t xml:space="preserve">населения) до 6 случаев в 2024 году (13,2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 г. Югорск</w:t>
      </w:r>
      <w:r>
        <w:t xml:space="preserve">е</w:t>
      </w:r>
      <w:r>
        <w:t xml:space="preserve"> увеличение с 1 случая в 2023 году (2,6 на 100 </w:t>
      </w:r>
      <w:r>
        <w:t xml:space="preserve">тыс. </w:t>
      </w:r>
      <w:r>
        <w:t xml:space="preserve">населения) до 2 случаев в 2024 году (5,1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rPr>
          <w:color w:val="000000"/>
        </w:rPr>
      </w:pPr>
      <w:r>
        <w:t xml:space="preserve">в</w:t>
      </w:r>
      <w:r>
        <w:t xml:space="preserve"> </w:t>
      </w:r>
      <w:r>
        <w:t xml:space="preserve">Ханты-Мансийском</w:t>
      </w:r>
      <w:r>
        <w:t xml:space="preserve"> районе увеличение с 1 случая в 2023 году (5,3 на 100 </w:t>
      </w:r>
      <w:r>
        <w:t xml:space="preserve">тыс. </w:t>
      </w:r>
      <w:r>
        <w:t xml:space="preserve">населения) до 2 случаев в 2024 году (10,5 на 100 </w:t>
      </w:r>
      <w:r>
        <w:t xml:space="preserve">тыс. </w:t>
      </w:r>
      <w:r>
        <w:t xml:space="preserve">населения)</w:t>
      </w:r>
      <w:r>
        <w:rPr>
          <w:color w:val="000000"/>
        </w:rPr>
        <w:t xml:space="preserve">.</w:t>
      </w:r>
      <w:r>
        <w:rPr>
          <w:color w:val="000000"/>
        </w:rPr>
      </w:r>
      <w:r>
        <w:rPr>
          <w:color w:val="000000"/>
        </w:rPr>
      </w:r>
    </w:p>
    <w:p>
      <w:pPr>
        <w:ind w:firstLine="709"/>
        <w:spacing w:line="276" w:lineRule="auto"/>
      </w:pPr>
      <w:r>
        <w:t xml:space="preserve">В Белоярском, Березовском и Нефтеюганском районах в 2023-2024 годах не зарегистрированы впервые в жизни потребители наркотиков с вредными последствиями. </w:t>
      </w:r>
      <w:r/>
    </w:p>
    <w:p>
      <w:pPr>
        <w:ind w:firstLine="709"/>
        <w:spacing w:line="276" w:lineRule="auto"/>
      </w:pPr>
      <w:r>
        <w:t xml:space="preserve">В других муниципальных образованиях ХМАО</w:t>
      </w:r>
      <w:r>
        <w:t xml:space="preserve">-</w:t>
      </w:r>
      <w:r>
        <w:t xml:space="preserve">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Н</w:t>
      </w:r>
      <w:r>
        <w:t xml:space="preserve">аблюда</w:t>
      </w:r>
      <w:r>
        <w:t xml:space="preserve">емая</w:t>
      </w:r>
      <w:r>
        <w:t xml:space="preserve">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w:t>
      </w:r>
      <w:r>
        <w:t xml:space="preserve">,</w:t>
      </w:r>
      <w:r>
        <w:t xml:space="preserve"> </w:t>
      </w:r>
      <w:r>
        <w:t xml:space="preserve">не является</w:t>
      </w:r>
      <w:r>
        <w:t xml:space="preserve"> значимой. </w:t>
      </w:r>
      <w:r/>
    </w:p>
    <w:p>
      <w:pPr>
        <w:pStyle w:val="1661"/>
        <w:ind w:firstLine="709"/>
        <w:jc w:val="both"/>
        <w:spacing w:after="0" w:line="276" w:lineRule="auto"/>
        <w:rPr>
          <w:sz w:val="28"/>
          <w:szCs w:val="28"/>
        </w:rPr>
      </w:pPr>
      <w:r>
        <w:rPr>
          <w:sz w:val="28"/>
          <w:szCs w:val="28"/>
        </w:rPr>
        <w:t xml:space="preserve">В структуре первичной заболеваемости </w:t>
      </w:r>
      <w:r>
        <w:rPr>
          <w:color w:val="000000"/>
          <w:sz w:val="28"/>
          <w:szCs w:val="28"/>
        </w:rPr>
        <w:t xml:space="preserve">пагубного употребления наркотиков</w:t>
      </w:r>
      <w:r>
        <w:rPr>
          <w:sz w:val="28"/>
          <w:szCs w:val="28"/>
        </w:rPr>
        <w:t xml:space="preserve"> за 2024 год было зарегистрировано 12 несовершеннолетних пациентов (АППГ – 7)</w:t>
      </w:r>
      <w:r>
        <w:rPr>
          <w:sz w:val="28"/>
          <w:szCs w:val="28"/>
          <w:lang w:val="ru-RU"/>
        </w:rPr>
        <w:t xml:space="preserve">.</w:t>
      </w:r>
      <w:r>
        <w:rPr>
          <w:sz w:val="28"/>
          <w:szCs w:val="28"/>
        </w:rPr>
        <w:t xml:space="preserve"> В 2023 году зарегистрировано 7 несовершеннолетних пациентов</w:t>
      </w:r>
      <w:r>
        <w:rPr>
          <w:sz w:val="28"/>
          <w:szCs w:val="28"/>
          <w:lang w:val="ru-RU"/>
        </w:rPr>
        <w:t xml:space="preserve">. Данная</w:t>
      </w:r>
      <w:r>
        <w:rPr>
          <w:sz w:val="28"/>
          <w:szCs w:val="28"/>
        </w:rPr>
        <w:t xml:space="preserve"> динамика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w:t>
      </w:r>
      <w:r>
        <w:rPr>
          <w:sz w:val="28"/>
          <w:szCs w:val="28"/>
        </w:rPr>
        <w:t xml:space="preserve">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медицинские профилактические осмотры обучающихся;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Эти меры способствуют созданию среды, в которой раннее выявление и предотвращение наркопотребления становятся более эффективными.</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На повышение выявляемости несовершеннолетних наркопотребителей на ранних стадиях, когда зависимость ещё не сформировалась, влияет несколько ключевых факторов:</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в таких городах, как Сургут, Нефтеюганск, Нижневартовск, Лангепас, Радужный и Урай функционируют наркологические кабинеты, специально предназначенные для обслуживания детско-подросткового населения</w:t>
      </w:r>
      <w:r>
        <w:rPr>
          <w:sz w:val="28"/>
          <w:szCs w:val="28"/>
          <w:lang w:val="ru-RU"/>
        </w:rPr>
        <w:t xml:space="preserve">;</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в психоневрологических больницах функционируют кабинеты медико-психологического консультирования и медико-психологической помощи для детского населения, что способствует раннему выявлению и поддержке подростков.</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В указанных городах заключены соглашения о взаимодействии между различными учреждениями и ведомствами, а также комиссиями по делам несовершеннолетних. Это сотрудничество позволяет эффективно осуществлять профилактику наркотизации, соблюдая правовые нормы.</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Таким образом, перечисленные меры</w:t>
      </w:r>
      <w:r>
        <w:rPr>
          <w:sz w:val="28"/>
          <w:szCs w:val="28"/>
          <w:lang w:val="ru-RU"/>
        </w:rPr>
        <w:t xml:space="preserve">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r>
        <w:rPr>
          <w:sz w:val="28"/>
          <w:szCs w:val="28"/>
        </w:rPr>
      </w:r>
      <w:r>
        <w:rPr>
          <w:sz w:val="28"/>
          <w:szCs w:val="28"/>
        </w:rPr>
      </w:r>
    </w:p>
    <w:p>
      <w:pPr>
        <w:ind w:firstLine="709"/>
        <w:spacing w:line="276" w:lineRule="auto"/>
        <w:rPr>
          <w:b/>
          <w:highlight w:val="yellow"/>
        </w:rPr>
      </w:pPr>
      <w:r>
        <w:rPr>
          <w:b/>
          <w:highlight w:val="yellow"/>
        </w:rPr>
      </w:r>
      <w:r>
        <w:rPr>
          <w:b/>
          <w:highlight w:val="yellow"/>
        </w:rPr>
      </w:r>
      <w:r>
        <w:rPr>
          <w:b/>
          <w:highlight w:val="yellow"/>
        </w:rPr>
      </w:r>
    </w:p>
    <w:p>
      <w:pPr>
        <w:ind w:firstLine="709"/>
        <w:spacing w:line="276" w:lineRule="auto"/>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rPr>
          <w:b/>
          <w:i/>
        </w:rPr>
      </w:r>
      <w:r>
        <w:rPr>
          <w:b/>
          <w:i/>
        </w:rPr>
      </w:r>
    </w:p>
    <w:p>
      <w:pPr>
        <w:ind w:firstLine="709"/>
        <w:spacing w:line="276" w:lineRule="auto"/>
      </w:pPr>
      <w:r/>
      <w:bookmarkStart w:id="1" w:name="_Toc89357214"/>
      <w:r>
        <w:t xml:space="preserve">Полевой этап социологического исследования в рамках мониторинга наркоситуации </w:t>
      </w:r>
      <w:r>
        <w:t xml:space="preserve">в</w:t>
      </w:r>
      <w:r>
        <w:t xml:space="preserve"> </w:t>
      </w:r>
      <w:r>
        <w:t xml:space="preserve">Ханты-Мансийском</w:t>
      </w:r>
      <w:r>
        <w:t xml:space="preserve"> автономном округе – Югре проводился </w:t>
      </w:r>
      <w:r>
        <w:t xml:space="preserve">в</w:t>
      </w:r>
      <w:r>
        <w:t xml:space="preserve"> ноябр</w:t>
      </w:r>
      <w:r>
        <w:t xml:space="preserve">е</w:t>
      </w:r>
      <w:r>
        <w:t xml:space="preserve"> 202</w:t>
      </w:r>
      <w:r>
        <w:t xml:space="preserve">4</w:t>
      </w:r>
      <w:r>
        <w:t xml:space="preserve"> </w:t>
      </w:r>
      <w:r>
        <w:t xml:space="preserve">года на территории 22</w:t>
      </w:r>
      <w:r>
        <w:t xml:space="preserve"> </w:t>
      </w:r>
      <w:r>
        <w:t xml:space="preserve">муниципальных образований автономного округа методом стандартизированного интервью. Опрошено </w:t>
      </w:r>
      <w:r>
        <w:t xml:space="preserve">1700 </w:t>
      </w:r>
      <w:r>
        <w:t xml:space="preserve">респондентов</w:t>
      </w:r>
      <w:r>
        <w:t xml:space="preserve"> в возрасте 14-60 лет. Основной метод: </w:t>
      </w:r>
      <w:r>
        <w:t xml:space="preserve">личное интервью </w:t>
      </w:r>
      <w:r>
        <w:rPr>
          <w:lang w:val="en-US"/>
        </w:rPr>
        <w:t xml:space="preserve">face</w:t>
      </w:r>
      <w:r>
        <w:t xml:space="preserve">-</w:t>
      </w:r>
      <w:r>
        <w:rPr>
          <w:lang w:val="en-US"/>
        </w:rPr>
        <w:t xml:space="preserve">to</w:t>
      </w:r>
      <w:r>
        <w:t xml:space="preserve">-</w:t>
      </w:r>
      <w:r>
        <w:rPr>
          <w:lang w:val="en-US"/>
        </w:rPr>
        <w:t xml:space="preserve">face</w:t>
      </w:r>
      <w:r>
        <w:rPr>
          <w:color w:val="000000" w:themeColor="text1"/>
        </w:rPr>
        <w:t xml:space="preserve"> по заданному маршруту по месту жительства респондентов</w:t>
      </w:r>
      <w:r>
        <w:t xml:space="preserve"> </w:t>
      </w:r>
      <w:r>
        <w:t xml:space="preserve">с использованием маршрутной выборки и квот (пол, возраст). </w:t>
      </w:r>
      <w:r/>
    </w:p>
    <w:p>
      <w:pPr>
        <w:ind w:firstLine="709"/>
        <w:spacing w:line="276" w:lineRule="auto"/>
      </w:pPr>
      <w:r>
        <w:t xml:space="preserve">По результатам исследования </w:t>
      </w:r>
      <w:r>
        <w:t xml:space="preserve">зафиксирована позитив</w:t>
      </w:r>
      <w:r>
        <w:t xml:space="preserve">ная динамика в показателе «острота проблемы» наркомании для населения – улучшение показателя на 6 п.п. В 2024 году доля указывающих наркоманию в качестве остросоциальной проблемы составила 20,6% (в 2023 г. - 26,6%), алкоголизм – 24,1% (в 2023 г. - 26,1%). </w:t>
      </w:r>
      <w:r/>
    </w:p>
    <w:p>
      <w:pPr>
        <w:ind w:firstLine="709"/>
        <w:spacing w:line="276" w:lineRule="auto"/>
      </w:pPr>
      <w:r>
        <w:t xml:space="preserve">Примечательно, что улучшение этого показателя сопровождается ростом оценки удовлетворенности возможностями интересно проводить свое свободное время в населенном пункте (увеличение на 3,9 п.п.). В 2024 г</w:t>
      </w:r>
      <w:r>
        <w:t xml:space="preserve">оду</w:t>
      </w:r>
      <w:r>
        <w:t xml:space="preserve"> более половины опрошенных (57,5%) посчитали, что возможностей в целом достаточно, чтобы интересно проводить свободное время (в 2023 г. - 53,6%). </w:t>
      </w:r>
      <w:r/>
    </w:p>
    <w:p>
      <w:pPr>
        <w:ind w:firstLine="709"/>
        <w:spacing w:line="276" w:lineRule="auto"/>
      </w:pPr>
      <w:r>
        <w:t xml:space="preserve">Тем не менее, проблема наркомании занимает приоритетную позицию в списке наиболе</w:t>
      </w:r>
      <w:r>
        <w:t xml:space="preserve">е острых проблем, требующих решения в первую очередь. 18,4% опрошенных считают наркоманию широко распространенной. Оценивая серьезность наркомании для российского общества, большинство респондентов (59,9%) считают ее серьезной проблемой для страны в целом.</w:t>
      </w:r>
      <w:r/>
    </w:p>
    <w:p>
      <w:pPr>
        <w:ind w:firstLine="709"/>
        <w:spacing w:line="276" w:lineRule="auto"/>
      </w:pPr>
      <w:r>
        <w:t xml:space="preserve">Главным источником </w:t>
      </w:r>
      <w:r>
        <w:t xml:space="preserve">информации о проблеме наркомании в России большинство респондентов (55,5%) назвали СМИ и сеть Интернет. Четверть опрошенных (25,8%) указывают на опыт друзей и знакомых. 18,5% респондентов отмечают личный опыт как источник информации о проблеме наркомании. </w:t>
      </w:r>
      <w:r/>
    </w:p>
    <w:p>
      <w:pPr>
        <w:ind w:firstLine="709"/>
        <w:spacing w:line="276" w:lineRule="auto"/>
      </w:pPr>
      <w:r>
        <w:t xml:space="preserve">При рассмотрении причин распространения наркомании большинство респондентов выделяют как лидирующие – «моральную деградацию общества и вседозволенность» и «неудовлетворенность жизнью и социальное неблагополучие». </w:t>
      </w:r>
      <w:r>
        <w:t xml:space="preserve">Еще </w:t>
      </w:r>
      <w:r>
        <w:t xml:space="preserve">30,8% опрошенных выделили доступность наркотиков. </w:t>
      </w:r>
      <w:r/>
    </w:p>
    <w:p>
      <w:pPr>
        <w:ind w:firstLine="709"/>
        <w:spacing w:line="276" w:lineRule="auto"/>
      </w:pPr>
      <w:r>
        <w:t xml:space="preserve">Выявление степени доступности наркотиков показало, что половина респондентов считают наркотики доступными и их в целом легко достать. </w:t>
      </w:r>
      <w:r/>
    </w:p>
    <w:p>
      <w:pPr>
        <w:ind w:firstLine="709"/>
        <w:spacing w:line="276" w:lineRule="auto"/>
      </w:pPr>
      <w:r>
        <w:t xml:space="preserve">Доминирующая</w:t>
      </w:r>
      <w:r>
        <w:t xml:space="preserve"> часть респондентов (85,7%) отрицает свое общение с лицами, употребляющими наркотики. В целом у 14,3% респондентов есть в кругу общения такие люди. </w:t>
      </w:r>
      <w:r/>
    </w:p>
    <w:p>
      <w:pPr>
        <w:ind w:firstLine="709"/>
        <w:spacing w:line="276" w:lineRule="auto"/>
      </w:pPr>
      <w:r>
        <w:t xml:space="preserve">Самый главный фактор, сдерживающий от употребления наркотиков, по мнению опрошенных – осознанное отрицательное отношение к употреблению наркотиков. Примечательно, что этот показатель имеет устойчивую положительную динамику с 2022 года (в 2024 </w:t>
      </w:r>
      <w:r>
        <w:t xml:space="preserve">г. </w:t>
      </w:r>
      <w:r>
        <w:t xml:space="preserve">– 74,6%, в </w:t>
      </w:r>
      <w:r>
        <w:br/>
      </w:r>
      <w:r>
        <w:t xml:space="preserve">2023 </w:t>
      </w:r>
      <w:r>
        <w:t xml:space="preserve">г. </w:t>
      </w:r>
      <w:r>
        <w:t xml:space="preserve">– 72%, в 2022 – 69,2%). </w:t>
      </w:r>
      <w:r/>
    </w:p>
    <w:p>
      <w:pPr>
        <w:ind w:firstLine="709"/>
        <w:spacing w:line="276" w:lineRule="auto"/>
      </w:pPr>
      <w:r>
        <w:t xml:space="preserve">Уверенную информированность об ответственности, предусмотренной законодательством за употребление, хранение и сбыт наркотических веществ, имеют 43,5% респондентов. Слабую информированность или ее отсутствие продемонстрировали 15,2% и 7,9% соответственно. </w:t>
      </w:r>
      <w:r/>
    </w:p>
    <w:p>
      <w:pPr>
        <w:ind w:firstLine="709"/>
        <w:spacing w:line="276" w:lineRule="auto"/>
      </w:pPr>
      <w:r>
        <w:t xml:space="preserve">По результатам исследования 32,5% респондентов ответили положительно на вопрос, предлагались ли им наркотики. Отрицательно на данный вопрос ответили 66,8% </w:t>
      </w:r>
      <w:r>
        <w:t xml:space="preserve">опрошенных</w:t>
      </w:r>
      <w:r>
        <w:t xml:space="preserve">. </w:t>
      </w:r>
      <w:r/>
    </w:p>
    <w:p>
      <w:pPr>
        <w:ind w:firstLine="709"/>
        <w:spacing w:line="276" w:lineRule="auto"/>
      </w:pPr>
      <w:r>
        <w:t xml:space="preserve">94,5% респондентов не пробовали наркотические вещества, 5,5% респондентов на соответствующий вопрос ответили положительно. </w:t>
      </w:r>
      <w:r/>
    </w:p>
    <w:p>
      <w:pPr>
        <w:ind w:firstLine="709"/>
        <w:spacing w:line="276" w:lineRule="auto"/>
      </w:pPr>
      <w:r>
        <w:t xml:space="preserve">Исследование выявило пользующиеся спросом наркотические вещества: марихуана (40%), гашиш (26,7%), мефедрон (26,7%) и метамфетамин (13,3%). </w:t>
      </w:r>
      <w:r/>
    </w:p>
    <w:p>
      <w:pPr>
        <w:ind w:firstLine="709"/>
        <w:spacing w:line="276" w:lineRule="auto"/>
        <w:rPr>
          <w:iCs/>
        </w:rPr>
      </w:pPr>
      <w:r>
        <w:rPr>
          <w:iCs/>
        </w:rPr>
        <w:t xml:space="preserve">Результаты проведенного социологического исследования дают основание сделать следующие выводы.</w:t>
      </w:r>
      <w:r>
        <w:rPr>
          <w:iCs/>
        </w:rPr>
        <w:t xml:space="preserve"> </w:t>
      </w:r>
      <w:r>
        <w:rPr>
          <w:iCs/>
        </w:rPr>
      </w:r>
      <w:r>
        <w:rPr>
          <w:iCs/>
        </w:rPr>
      </w:r>
    </w:p>
    <w:p>
      <w:pPr>
        <w:ind w:firstLine="709"/>
        <w:spacing w:line="276" w:lineRule="auto"/>
      </w:pPr>
      <w:r>
        <w:t xml:space="preserve">Как и в предыдущие годы, на первый план у опрош</w:t>
      </w:r>
      <w:r>
        <w:t xml:space="preserve">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w:t>
      </w:r>
      <w:r/>
    </w:p>
    <w:p>
      <w:pPr>
        <w:ind w:firstLine="709"/>
        <w:spacing w:line="276" w:lineRule="auto"/>
      </w:pPr>
      <w:r>
        <w:t xml:space="preserve">Во-вторых, большинство респондентов демонстрируют устойчивую позитивную мотивацию и </w:t>
      </w:r>
      <w:r>
        <w:t xml:space="preserve">приверженность</w:t>
      </w:r>
      <w:r>
        <w:t xml:space="preserve"> традиционной системе жизненных ценностей, отвергая саму мысль о нарк</w:t>
      </w:r>
      <w:r>
        <w:t xml:space="preserve">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r/>
    </w:p>
    <w:p>
      <w:pPr>
        <w:ind w:firstLine="709"/>
        <w:spacing w:line="276" w:lineRule="auto"/>
      </w:pPr>
      <w:r>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w:t>
      </w:r>
      <w:r>
        <w:t xml:space="preserve">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r/>
    </w:p>
    <w:p>
      <w:pPr>
        <w:ind w:firstLine="709"/>
        <w:spacing w:line="276" w:lineRule="auto"/>
      </w:pPr>
      <w:r>
        <w:t xml:space="preserve">Результаты исследования подтверждают: значимой социальной базы наркомании в региональном с</w:t>
      </w:r>
      <w:r>
        <w:t xml:space="preserve">оциуме нет. Подавляющая часть населения негативно относится к наркотикам и лицам их употребляющим. Вместе с тем требуется профилактирование и дополнительное информирование населения о мерах наказания за употребление, хранение и сбыт наркотических средств. </w:t>
      </w:r>
      <w:r/>
    </w:p>
    <w:p>
      <w:pPr>
        <w:ind w:firstLine="709"/>
        <w:spacing w:line="276" w:lineRule="auto"/>
      </w:pPr>
      <w:r>
        <w:t xml:space="preserve">По результатам социологического опроса в 202</w:t>
      </w:r>
      <w:r>
        <w:t xml:space="preserve">4</w:t>
      </w:r>
      <w:r>
        <w:t xml:space="preserve"> </w:t>
      </w:r>
      <w:r>
        <w:t xml:space="preserve">году осуществлен расчет показателя «Оценочная распространенность употребления наркотиков»</w:t>
      </w:r>
      <w:bookmarkEnd w:id="1"/>
      <w:r>
        <w:t xml:space="preserve"> (см. табл. 3)</w:t>
      </w:r>
      <w:r>
        <w:t xml:space="preserve">. </w:t>
      </w:r>
      <w:r>
        <w:t xml:space="preserve">Расчет произведен по формуле: </w:t>
      </w:r>
      <w:r/>
    </w:p>
    <w:p>
      <w:pPr>
        <w:ind w:firstLine="709"/>
        <w:spacing w:line="240" w:lineRule="auto"/>
        <w:rPr>
          <w:sz w:val="20"/>
          <w:szCs w:val="20"/>
        </w:rPr>
      </w:pPr>
      <w:r>
        <w:rPr>
          <w:sz w:val="20"/>
          <w:szCs w:val="20"/>
        </w:rPr>
      </w:r>
      <w:r>
        <w:rPr>
          <w:sz w:val="20"/>
          <w:szCs w:val="20"/>
        </w:rPr>
      </w:r>
      <w:r>
        <w:rPr>
          <w:sz w:val="20"/>
          <w:szCs w:val="20"/>
        </w:rPr>
      </w:r>
    </w:p>
    <w:p>
      <w:pPr>
        <w:contextualSpacing/>
        <w:ind w:firstLine="0"/>
        <w:jc w:val="center"/>
        <w:spacing w:line="240" w:lineRule="auto"/>
        <w:rPr>
          <w:sz w:val="2"/>
          <w:szCs w:val="2"/>
        </w:rPr>
      </w:pPr>
      <w:r>
        <w:rPr>
          <w:sz w:val="2"/>
          <w:szCs w:val="2"/>
        </w:rPr>
      </w:r>
      <w:r>
        <w:rPr>
          <w:sz w:val="2"/>
          <w:szCs w:val="2"/>
        </w:rPr>
      </w:r>
      <w:r>
        <w:rPr>
          <w:sz w:val="2"/>
          <w:szCs w:val="2"/>
        </w:rPr>
      </w:r>
    </w:p>
    <w:p>
      <w:pPr>
        <w:contextualSpacing/>
        <w:ind w:firstLine="0"/>
        <w:jc w:val="center"/>
        <w:spacing w:line="240" w:lineRule="auto"/>
      </w:pPr>
      <w:r>
        <w:rPr>
          <w:lang w:val="en-US"/>
        </w:rPr>
        <w:t xml:space="preserve">M</w:t>
      </w:r>
      <w:r>
        <w:t xml:space="preserve"> = </w:t>
      </w:r>
      <w:r>
        <w:rPr>
          <w:lang w:val="en-US"/>
        </w:rPr>
        <w:t xml:space="preserve">Snp</w:t>
      </w:r>
      <w:r>
        <w:t xml:space="preserve"> *100/</w:t>
      </w:r>
      <w:r>
        <w:rPr>
          <w:lang w:val="en-US"/>
        </w:rPr>
        <w:t xml:space="preserve">So</w:t>
      </w:r>
      <w:r/>
    </w:p>
    <w:p>
      <w:pPr>
        <w:contextualSpacing/>
        <w:ind w:firstLine="0"/>
        <w:spacing w:line="240" w:lineRule="auto"/>
        <w:rPr>
          <w:sz w:val="20"/>
          <w:szCs w:val="20"/>
        </w:rPr>
      </w:pPr>
      <w:r>
        <w:rPr>
          <w:sz w:val="20"/>
          <w:szCs w:val="20"/>
        </w:rPr>
        <w:t xml:space="preserve">где </w:t>
      </w:r>
      <w:r>
        <w:rPr>
          <w:sz w:val="20"/>
          <w:szCs w:val="20"/>
        </w:rPr>
      </w:r>
      <w:r>
        <w:rPr>
          <w:sz w:val="20"/>
          <w:szCs w:val="20"/>
        </w:rPr>
      </w:r>
    </w:p>
    <w:p>
      <w:pPr>
        <w:ind w:firstLine="708"/>
        <w:spacing w:line="240" w:lineRule="auto"/>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rPr>
          <w:sz w:val="20"/>
          <w:szCs w:val="20"/>
        </w:rPr>
      </w:r>
      <w:r>
        <w:rPr>
          <w:sz w:val="20"/>
          <w:szCs w:val="20"/>
        </w:rPr>
      </w:r>
    </w:p>
    <w:p>
      <w:pPr>
        <w:ind w:firstLine="708"/>
        <w:spacing w:line="240" w:lineRule="auto"/>
        <w:rPr>
          <w:sz w:val="20"/>
          <w:szCs w:val="20"/>
        </w:rPr>
      </w:pPr>
      <w:r>
        <w:rPr>
          <w:sz w:val="20"/>
          <w:szCs w:val="20"/>
          <w:lang w:val="en-US"/>
        </w:rPr>
        <w:t xml:space="preserve">M</w:t>
      </w:r>
      <w:r>
        <w:rPr>
          <w:sz w:val="20"/>
          <w:szCs w:val="20"/>
        </w:rPr>
        <w:t xml:space="preserve"> – </w:t>
      </w:r>
      <w:r>
        <w:rPr>
          <w:sz w:val="20"/>
          <w:szCs w:val="20"/>
        </w:rPr>
        <w:t xml:space="preserve">оценочная</w:t>
      </w:r>
      <w:r>
        <w:rPr>
          <w:sz w:val="20"/>
          <w:szCs w:val="20"/>
        </w:rPr>
        <w:t xml:space="preserve"> распространённость употребления наркотиков (по данным социологических исследований); </w:t>
      </w:r>
      <w:r>
        <w:rPr>
          <w:sz w:val="20"/>
          <w:szCs w:val="20"/>
        </w:rPr>
      </w:r>
      <w:r>
        <w:rPr>
          <w:sz w:val="20"/>
          <w:szCs w:val="20"/>
        </w:rPr>
      </w:r>
    </w:p>
    <w:p>
      <w:pPr>
        <w:ind w:firstLine="708"/>
        <w:spacing w:line="240" w:lineRule="auto"/>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rPr>
          <w:sz w:val="20"/>
          <w:szCs w:val="20"/>
        </w:rPr>
      </w:r>
      <w:r>
        <w:rPr>
          <w:sz w:val="20"/>
          <w:szCs w:val="20"/>
        </w:rPr>
      </w:r>
    </w:p>
    <w:p>
      <w:pPr>
        <w:ind w:firstLine="708"/>
        <w:spacing w:line="240" w:lineRule="auto"/>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наркотики</w:t>
      </w:r>
      <w:r>
        <w:rPr>
          <w:sz w:val="20"/>
          <w:szCs w:val="20"/>
        </w:rPr>
        <w:t xml:space="preserve">?»</w:t>
      </w:r>
      <w:r>
        <w:rPr>
          <w:sz w:val="20"/>
          <w:szCs w:val="20"/>
        </w:rPr>
        <w:t xml:space="preserve">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r>
        <w:rPr>
          <w:bCs/>
          <w:sz w:val="20"/>
          <w:szCs w:val="20"/>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w:t>
      </w:r>
      <w:r>
        <w:rPr>
          <w:rFonts w:eastAsia="Lucida Sans Unicode"/>
          <w:color w:val="000000"/>
          <w:sz w:val="20"/>
          <w:szCs w:val="20"/>
          <w:lang w:eastAsia="ar-SA"/>
        </w:rPr>
        <w:t xml:space="preserve">учая к случаю, не каждый месяц</w:t>
      </w:r>
      <w:r>
        <w:rPr>
          <w:rFonts w:eastAsia="Lucida Sans Unicode"/>
          <w:color w:val="000000"/>
          <w:sz w:val="20"/>
          <w:szCs w:val="20"/>
          <w:lang w:eastAsia="ar-SA"/>
        </w:rPr>
        <w:t xml:space="preserve">)</w:t>
      </w:r>
      <w:r>
        <w:rPr>
          <w:rFonts w:eastAsia="Lucida Sans Unicode"/>
          <w:color w:val="000000"/>
          <w:sz w:val="20"/>
          <w:szCs w:val="20"/>
          <w:lang w:eastAsia="ar-SA"/>
        </w:rPr>
        <w:t xml:space="preserve">»</w:t>
      </w:r>
      <w:r>
        <w:rPr>
          <w:rFonts w:eastAsia="Lucida Sans Unicode"/>
          <w:color w:val="000000"/>
          <w:sz w:val="20"/>
          <w:szCs w:val="20"/>
          <w:lang w:eastAsia="ar-SA"/>
        </w:rPr>
        <w:t xml:space="preserve">; </w:t>
      </w:r>
      <w:r>
        <w:rPr>
          <w:rFonts w:eastAsia="Lucida Sans Unicode"/>
          <w:color w:val="000000"/>
          <w:sz w:val="20"/>
          <w:szCs w:val="20"/>
          <w:lang w:eastAsia="ar-SA"/>
        </w:rPr>
      </w:r>
      <w:r>
        <w:rPr>
          <w:rFonts w:eastAsia="Lucida Sans Unicode"/>
          <w:color w:val="000000"/>
          <w:sz w:val="20"/>
          <w:szCs w:val="20"/>
          <w:lang w:eastAsia="ar-SA"/>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чаще</w:t>
      </w:r>
      <w:r>
        <w:rPr>
          <w:rFonts w:eastAsia="Lucida Sans Unicode"/>
          <w:color w:val="000000"/>
          <w:sz w:val="20"/>
          <w:szCs w:val="20"/>
          <w:lang w:eastAsia="ar-SA"/>
        </w:rPr>
        <w:t xml:space="preserve">)»</w:t>
      </w:r>
      <w:r>
        <w:rPr>
          <w:rFonts w:eastAsia="Lucida Sans Unicode"/>
          <w:color w:val="000000"/>
          <w:sz w:val="20"/>
          <w:szCs w:val="20"/>
          <w:lang w:eastAsia="ar-SA"/>
        </w:rPr>
        <w:t xml:space="preserve">;</w:t>
      </w:r>
      <w:r>
        <w:rPr>
          <w:rFonts w:eastAsia="Lucida Sans Unicode"/>
          <w:color w:val="000000"/>
          <w:sz w:val="20"/>
          <w:szCs w:val="20"/>
          <w:lang w:eastAsia="ar-SA"/>
        </w:rPr>
      </w:r>
      <w:r>
        <w:rPr>
          <w:rFonts w:eastAsia="Lucida Sans Unicode"/>
          <w:color w:val="000000"/>
          <w:sz w:val="20"/>
          <w:szCs w:val="20"/>
          <w:lang w:eastAsia="ar-SA"/>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неделю</w:t>
      </w:r>
      <w:r>
        <w:rPr>
          <w:rFonts w:eastAsia="Lucida Sans Unicode"/>
          <w:color w:val="000000"/>
          <w:sz w:val="20"/>
          <w:szCs w:val="20"/>
          <w:lang w:eastAsia="ar-SA"/>
        </w:rPr>
        <w:t xml:space="preserve">)»</w:t>
      </w:r>
      <w:r>
        <w:rPr>
          <w:rFonts w:eastAsia="Lucida Sans Unicode"/>
          <w:color w:val="000000"/>
          <w:sz w:val="20"/>
          <w:szCs w:val="20"/>
          <w:lang w:eastAsia="ar-SA"/>
        </w:rPr>
        <w:t xml:space="preserve">;</w:t>
      </w:r>
      <w:r>
        <w:rPr>
          <w:rFonts w:eastAsia="Lucida Sans Unicode"/>
          <w:color w:val="000000"/>
          <w:sz w:val="20"/>
          <w:szCs w:val="20"/>
          <w:lang w:eastAsia="ar-SA"/>
        </w:rPr>
      </w:r>
      <w:r>
        <w:rPr>
          <w:rFonts w:eastAsia="Lucida Sans Unicode"/>
          <w:color w:val="000000"/>
          <w:sz w:val="20"/>
          <w:szCs w:val="20"/>
          <w:lang w:eastAsia="ar-SA"/>
        </w:rPr>
      </w:r>
    </w:p>
    <w:p>
      <w:pPr>
        <w:ind w:firstLine="360"/>
        <w:spacing w:line="240" w:lineRule="auto"/>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rPr>
          <w:rFonts w:eastAsia="Lucida Sans Unicode"/>
          <w:color w:val="000000"/>
          <w:sz w:val="20"/>
          <w:szCs w:val="20"/>
          <w:lang w:eastAsia="ar-SA"/>
        </w:rPr>
      </w:r>
      <w:r>
        <w:rPr>
          <w:rFonts w:eastAsia="Lucida Sans Unicode"/>
          <w:color w:val="000000"/>
          <w:sz w:val="20"/>
          <w:szCs w:val="20"/>
          <w:lang w:eastAsia="ar-SA"/>
        </w:rPr>
      </w:r>
    </w:p>
    <w:p>
      <w:pPr>
        <w:contextualSpacing/>
        <w:ind w:firstLine="0"/>
        <w:jc w:val="right"/>
        <w:spacing w:line="276" w:lineRule="auto"/>
      </w:pPr>
      <w:r>
        <w:t xml:space="preserve">Таблица </w:t>
      </w:r>
      <w:r>
        <w:t xml:space="preserve">3</w:t>
      </w:r>
      <w:r/>
    </w:p>
    <w:p>
      <w:pPr>
        <w:contextualSpacing/>
        <w:ind w:firstLine="0"/>
        <w:jc w:val="center"/>
        <w:spacing w:line="276" w:lineRule="auto"/>
        <w:rPr>
          <w:b/>
        </w:rPr>
      </w:pPr>
      <w:r>
        <w:rPr>
          <w:b/>
        </w:rPr>
        <w:t xml:space="preserve">Данные для расчета показателя «Оценочная распространённость употребления наркотиков», абсолютные числа</w:t>
      </w:r>
      <w:r>
        <w:rPr>
          <w:b/>
        </w:rPr>
      </w:r>
      <w:r>
        <w:rPr>
          <w:b/>
        </w:rPr>
      </w:r>
    </w:p>
    <w:tbl>
      <w:tblPr>
        <w:tblpPr w:horzAnchor="page" w:tblpX="1122" w:vertAnchor="text" w:tblpY="46" w:leftFromText="180" w:topFromText="0" w:rightFromText="180" w:bottomFromText="0"/>
        <w:tblW w:w="10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57"/>
        <w:gridCol w:w="1233"/>
        <w:gridCol w:w="1134"/>
        <w:gridCol w:w="1275"/>
        <w:gridCol w:w="1138"/>
        <w:gridCol w:w="1237"/>
        <w:gridCol w:w="1169"/>
      </w:tblGrid>
      <w:tr>
        <w:trPr>
          <w:trHeight w:val="227"/>
        </w:trPr>
        <w:tc>
          <w:tcPr>
            <w:shd w:val="clear" w:color="auto" w:fill="auto"/>
            <w:tcW w:w="3157" w:type="dxa"/>
            <w:vAlign w:val="center"/>
            <w:vMerge w:val="restart"/>
            <w:textDirection w:val="lrTb"/>
            <w:noWrap/>
          </w:tcPr>
          <w:p>
            <w:pPr>
              <w:ind w:firstLine="0"/>
              <w:jc w:val="center"/>
              <w:spacing w:line="240" w:lineRule="auto"/>
              <w:rPr>
                <w:sz w:val="24"/>
                <w:szCs w:val="24"/>
              </w:rPr>
            </w:pPr>
            <w:r>
              <w:rPr>
                <w:sz w:val="24"/>
                <w:szCs w:val="24"/>
              </w:rPr>
              <w:t xml:space="preserve">Периоды проведения исследования</w:t>
            </w:r>
            <w:r>
              <w:rPr>
                <w:sz w:val="24"/>
                <w:szCs w:val="24"/>
              </w:rPr>
            </w:r>
            <w:r>
              <w:rPr>
                <w:sz w:val="24"/>
                <w:szCs w:val="24"/>
              </w:rPr>
            </w:r>
          </w:p>
        </w:tc>
        <w:tc>
          <w:tcPr>
            <w:tcW w:w="1233"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w:t>
            </w:r>
            <w:r>
              <w:rPr>
                <w:b/>
                <w:color w:val="000000"/>
                <w:sz w:val="22"/>
                <w:szCs w:val="22"/>
              </w:rPr>
              <w:t xml:space="preserve">4</w:t>
            </w:r>
            <w:r>
              <w:rPr>
                <w:b/>
                <w:color w:val="000000"/>
                <w:sz w:val="22"/>
                <w:szCs w:val="22"/>
                <w:lang w:val="en-US"/>
              </w:rPr>
              <w:t xml:space="preserve"> </w:t>
            </w:r>
            <w:r>
              <w:rPr>
                <w:b/>
                <w:color w:val="000000"/>
                <w:sz w:val="22"/>
                <w:szCs w:val="22"/>
              </w:rPr>
              <w:t xml:space="preserve">год</w:t>
            </w:r>
            <w:r>
              <w:rPr>
                <w:b/>
                <w:color w:val="000000"/>
                <w:sz w:val="22"/>
                <w:szCs w:val="22"/>
              </w:rPr>
            </w:r>
            <w:r>
              <w:rPr>
                <w:b/>
                <w:color w:val="000000"/>
                <w:sz w:val="22"/>
                <w:szCs w:val="22"/>
              </w:rP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2023 </w:t>
            </w:r>
            <w:r>
              <w:rPr>
                <w:b/>
                <w:color w:val="000000"/>
                <w:sz w:val="22"/>
                <w:szCs w:val="22"/>
              </w:rPr>
              <w:t xml:space="preserve">год</w:t>
            </w:r>
            <w:r>
              <w:rPr>
                <w:b/>
                <w:color w:val="000000"/>
                <w:sz w:val="22"/>
                <w:szCs w:val="22"/>
              </w:rPr>
            </w:r>
            <w:r>
              <w:rPr>
                <w:b/>
                <w:color w:val="000000"/>
                <w:sz w:val="22"/>
                <w:szCs w:val="22"/>
              </w:rP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2022 год</w:t>
            </w:r>
            <w:r>
              <w:rPr>
                <w:b/>
                <w:color w:val="000000"/>
                <w:sz w:val="22"/>
                <w:szCs w:val="22"/>
              </w:rPr>
            </w:r>
            <w:r>
              <w:rPr>
                <w:b/>
                <w:color w:val="000000"/>
                <w:sz w:val="22"/>
                <w:szCs w:val="22"/>
              </w:rPr>
            </w:r>
          </w:p>
        </w:tc>
        <w:tc>
          <w:tcPr>
            <w:tcW w:w="113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2021 год</w:t>
            </w:r>
            <w:r>
              <w:rPr>
                <w:b/>
                <w:color w:val="000000"/>
                <w:sz w:val="22"/>
                <w:szCs w:val="22"/>
              </w:rPr>
            </w:r>
            <w:r>
              <w:rPr>
                <w:b/>
                <w:color w:val="000000"/>
                <w:sz w:val="22"/>
                <w:szCs w:val="22"/>
              </w:rPr>
            </w:r>
          </w:p>
        </w:tc>
        <w:tc>
          <w:tcPr>
            <w:shd w:val="clear" w:color="auto" w:fill="auto"/>
            <w:tcW w:w="1237" w:type="dxa"/>
            <w:vAlign w:val="center"/>
            <w:textDirection w:val="lrTb"/>
            <w:noWrap/>
          </w:tcPr>
          <w:p>
            <w:pPr>
              <w:ind w:firstLine="0"/>
              <w:jc w:val="center"/>
              <w:spacing w:line="240" w:lineRule="auto"/>
              <w:rPr>
                <w:b/>
                <w:color w:val="000000"/>
                <w:sz w:val="22"/>
                <w:szCs w:val="22"/>
              </w:rPr>
            </w:pPr>
            <w:r>
              <w:rPr>
                <w:b/>
                <w:color w:val="000000"/>
                <w:sz w:val="22"/>
                <w:szCs w:val="22"/>
              </w:rPr>
              <w:t xml:space="preserve">2020 год</w:t>
            </w:r>
            <w:r>
              <w:rPr>
                <w:b/>
                <w:color w:val="000000"/>
                <w:sz w:val="22"/>
                <w:szCs w:val="22"/>
              </w:rPr>
            </w:r>
            <w:r>
              <w:rPr>
                <w:b/>
                <w:color w:val="000000"/>
                <w:sz w:val="22"/>
                <w:szCs w:val="22"/>
              </w:rPr>
            </w:r>
          </w:p>
        </w:tc>
        <w:tc>
          <w:tcPr>
            <w:shd w:val="clear" w:color="auto" w:fill="auto"/>
            <w:tcW w:w="1169" w:type="dxa"/>
            <w:vAlign w:val="center"/>
            <w:textDirection w:val="lrTb"/>
            <w:noWrap/>
          </w:tcPr>
          <w:p>
            <w:pPr>
              <w:ind w:firstLine="0"/>
              <w:jc w:val="center"/>
              <w:spacing w:line="240" w:lineRule="auto"/>
              <w:rPr>
                <w:b/>
                <w:color w:val="000000"/>
                <w:sz w:val="22"/>
                <w:szCs w:val="22"/>
              </w:rPr>
            </w:pPr>
            <w:r>
              <w:rPr>
                <w:b/>
                <w:color w:val="000000"/>
                <w:sz w:val="22"/>
                <w:szCs w:val="22"/>
              </w:rPr>
              <w:t xml:space="preserve">2019 год</w:t>
            </w:r>
            <w:r>
              <w:rPr>
                <w:b/>
                <w:color w:val="000000"/>
                <w:sz w:val="22"/>
                <w:szCs w:val="22"/>
              </w:rPr>
            </w:r>
            <w:r>
              <w:rPr>
                <w:b/>
                <w:color w:val="000000"/>
                <w:sz w:val="22"/>
                <w:szCs w:val="22"/>
              </w:rPr>
            </w:r>
          </w:p>
        </w:tc>
      </w:tr>
      <w:tr>
        <w:trPr>
          <w:trHeight w:val="227"/>
        </w:trPr>
        <w:tc>
          <w:tcPr>
            <w:shd w:val="clear" w:color="auto" w:fill="auto"/>
            <w:tcW w:w="3157" w:type="dxa"/>
            <w:vMerge w:val="continue"/>
            <w:textDirection w:val="lrTb"/>
            <w:noWrap/>
          </w:tcPr>
          <w:p>
            <w:pPr>
              <w:ind w:firstLine="0"/>
              <w:spacing w:line="240" w:lineRule="auto"/>
              <w:rPr>
                <w:color w:val="000000"/>
                <w:sz w:val="24"/>
                <w:szCs w:val="24"/>
              </w:rPr>
            </w:pPr>
            <w:r>
              <w:rPr>
                <w:color w:val="000000"/>
                <w:sz w:val="24"/>
                <w:szCs w:val="24"/>
              </w:rPr>
            </w:r>
            <w:r>
              <w:rPr>
                <w:color w:val="000000"/>
                <w:sz w:val="24"/>
                <w:szCs w:val="24"/>
              </w:rPr>
            </w:r>
            <w:r>
              <w:rPr>
                <w:color w:val="000000"/>
                <w:sz w:val="24"/>
                <w:szCs w:val="24"/>
              </w:rPr>
            </w:r>
          </w:p>
        </w:tc>
        <w:tc>
          <w:tcPr>
            <w:tcW w:w="1233" w:type="dxa"/>
            <w:textDirection w:val="lrTb"/>
            <w:noWrap w:val="false"/>
          </w:tcPr>
          <w:p>
            <w:pPr>
              <w:ind w:firstLine="0"/>
              <w:jc w:val="center"/>
              <w:spacing w:line="240" w:lineRule="auto"/>
              <w:rPr>
                <w:i/>
                <w:color w:val="000000"/>
                <w:sz w:val="22"/>
                <w:szCs w:val="22"/>
              </w:rPr>
            </w:pPr>
            <w:r>
              <w:rPr>
                <w:i/>
                <w:color w:val="000000"/>
                <w:sz w:val="22"/>
                <w:szCs w:val="22"/>
                <w:lang w:val="en-US"/>
              </w:rPr>
              <w:t xml:space="preserve">So</w:t>
            </w:r>
            <w:r>
              <w:rPr>
                <w:color w:val="000000"/>
                <w:sz w:val="22"/>
                <w:szCs w:val="22"/>
              </w:rPr>
              <w:t xml:space="preserve"> = 1700</w:t>
            </w:r>
            <w:r>
              <w:rPr>
                <w:i/>
                <w:color w:val="000000"/>
                <w:sz w:val="22"/>
                <w:szCs w:val="22"/>
              </w:rPr>
            </w:r>
            <w:r>
              <w:rPr>
                <w:i/>
                <w:color w:val="000000"/>
                <w:sz w:val="22"/>
                <w:szCs w:val="22"/>
              </w:rPr>
            </w:r>
          </w:p>
        </w:tc>
        <w:tc>
          <w:tcPr>
            <w:tcW w:w="1134"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17</w:t>
            </w:r>
            <w:r>
              <w:rPr>
                <w:color w:val="000000"/>
                <w:sz w:val="22"/>
                <w:szCs w:val="22"/>
                <w:lang w:val="en-US"/>
              </w:rPr>
              <w:t xml:space="preserve">1</w:t>
            </w:r>
            <w:r>
              <w:rPr>
                <w:color w:val="000000"/>
                <w:sz w:val="22"/>
                <w:szCs w:val="22"/>
              </w:rPr>
              <w:t xml:space="preserve">2</w:t>
            </w:r>
            <w:r>
              <w:rPr>
                <w:i/>
                <w:color w:val="000000"/>
                <w:sz w:val="22"/>
                <w:szCs w:val="22"/>
                <w:lang w:val="en-US"/>
              </w:rPr>
            </w:r>
            <w:r>
              <w:rPr>
                <w:i/>
                <w:color w:val="000000"/>
                <w:sz w:val="22"/>
                <w:szCs w:val="22"/>
                <w:lang w:val="en-US"/>
              </w:rPr>
            </w:r>
          </w:p>
        </w:tc>
        <w:tc>
          <w:tcPr>
            <w:tcW w:w="1275"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17</w:t>
            </w:r>
            <w:r>
              <w:rPr>
                <w:color w:val="000000"/>
                <w:sz w:val="22"/>
                <w:szCs w:val="22"/>
                <w:lang w:val="en-US"/>
              </w:rPr>
              <w:t xml:space="preserve">16</w:t>
            </w:r>
            <w:r>
              <w:rPr>
                <w:i/>
                <w:color w:val="000000"/>
                <w:sz w:val="22"/>
                <w:szCs w:val="22"/>
                <w:lang w:val="en-US"/>
              </w:rPr>
            </w:r>
            <w:r>
              <w:rPr>
                <w:i/>
                <w:color w:val="000000"/>
                <w:sz w:val="22"/>
                <w:szCs w:val="22"/>
                <w:lang w:val="en-US"/>
              </w:rPr>
            </w:r>
          </w:p>
        </w:tc>
        <w:tc>
          <w:tcPr>
            <w:tcW w:w="1138"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6622</w:t>
            </w:r>
            <w:r>
              <w:rPr>
                <w:i/>
                <w:color w:val="000000"/>
                <w:sz w:val="22"/>
                <w:szCs w:val="22"/>
                <w:lang w:val="en-US"/>
              </w:rPr>
            </w:r>
            <w:r>
              <w:rPr>
                <w:i/>
                <w:color w:val="000000"/>
                <w:sz w:val="22"/>
                <w:szCs w:val="22"/>
                <w:lang w:val="en-US"/>
              </w:rPr>
            </w:r>
          </w:p>
        </w:tc>
        <w:tc>
          <w:tcPr>
            <w:shd w:val="clear" w:color="auto" w:fill="auto"/>
            <w:tcW w:w="1237" w:type="dxa"/>
            <w:textDirection w:val="lrTb"/>
            <w:noWrap/>
          </w:tcPr>
          <w:p>
            <w:pPr>
              <w:ind w:firstLine="0"/>
              <w:jc w:val="center"/>
              <w:spacing w:line="240" w:lineRule="auto"/>
              <w:rPr>
                <w:color w:val="000000"/>
                <w:sz w:val="22"/>
                <w:szCs w:val="22"/>
              </w:rPr>
            </w:pPr>
            <w:r>
              <w:rPr>
                <w:i/>
                <w:color w:val="000000"/>
                <w:sz w:val="22"/>
                <w:szCs w:val="22"/>
                <w:lang w:val="en-US"/>
              </w:rPr>
              <w:t xml:space="preserve">So</w:t>
            </w:r>
            <w:r>
              <w:rPr>
                <w:color w:val="000000"/>
                <w:sz w:val="22"/>
                <w:szCs w:val="22"/>
              </w:rPr>
              <w:t xml:space="preserve"> = 2007</w:t>
            </w:r>
            <w:r>
              <w:rPr>
                <w:color w:val="000000"/>
                <w:sz w:val="22"/>
                <w:szCs w:val="22"/>
              </w:rPr>
            </w:r>
            <w:r>
              <w:rPr>
                <w:color w:val="000000"/>
                <w:sz w:val="22"/>
                <w:szCs w:val="22"/>
              </w:rPr>
            </w:r>
          </w:p>
        </w:tc>
        <w:tc>
          <w:tcPr>
            <w:shd w:val="clear" w:color="auto" w:fill="auto"/>
            <w:tcW w:w="1169" w:type="dxa"/>
            <w:textDirection w:val="lrTb"/>
            <w:noWrap/>
          </w:tcPr>
          <w:p>
            <w:pPr>
              <w:ind w:firstLine="0"/>
              <w:jc w:val="center"/>
              <w:spacing w:line="240" w:lineRule="auto"/>
              <w:rPr>
                <w:color w:val="000000"/>
                <w:sz w:val="22"/>
                <w:szCs w:val="22"/>
              </w:rPr>
            </w:pPr>
            <w:r>
              <w:rPr>
                <w:i/>
                <w:color w:val="000000"/>
                <w:sz w:val="22"/>
                <w:szCs w:val="22"/>
                <w:lang w:val="en-US"/>
              </w:rPr>
              <w:t xml:space="preserve">So</w:t>
            </w:r>
            <w:r>
              <w:rPr>
                <w:color w:val="000000"/>
                <w:sz w:val="22"/>
                <w:szCs w:val="22"/>
              </w:rPr>
              <w:t xml:space="preserve"> = 2056</w:t>
            </w:r>
            <w:r>
              <w:rPr>
                <w:color w:val="000000"/>
                <w:sz w:val="22"/>
                <w:szCs w:val="22"/>
              </w:rPr>
            </w:r>
            <w:r>
              <w:rPr>
                <w:color w:val="000000"/>
                <w:sz w:val="22"/>
                <w:szCs w:val="22"/>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w:t>
            </w:r>
            <w:r>
              <w:rPr>
                <w:i/>
                <w:color w:val="000000"/>
                <w:sz w:val="24"/>
                <w:szCs w:val="24"/>
              </w:rPr>
              <w:t xml:space="preserve">1</w:t>
            </w:r>
            <w:r>
              <w:rPr>
                <w:i/>
                <w:color w:val="000000"/>
                <w:sz w:val="24"/>
                <w:szCs w:val="24"/>
              </w:rPr>
              <w:t xml:space="preserve"> «Употребляю редко (от случая к случаю, не каждый месяц)»</w:t>
            </w:r>
            <w:r>
              <w:rPr>
                <w:i/>
                <w:color w:val="000000"/>
                <w:sz w:val="24"/>
                <w:szCs w:val="24"/>
              </w:rPr>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чел.</w:t>
            </w:r>
            <w:r>
              <w:rPr>
                <w:color w:val="000000"/>
                <w:sz w:val="24"/>
                <w:szCs w:val="24"/>
              </w:rPr>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 чел.</w:t>
            </w:r>
            <w:r>
              <w:rPr>
                <w:color w:val="000000"/>
                <w:sz w:val="24"/>
                <w:szCs w:val="24"/>
              </w:rPr>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чел.</w:t>
            </w:r>
            <w:r>
              <w:rPr>
                <w:color w:val="000000"/>
                <w:sz w:val="24"/>
                <w:szCs w:val="24"/>
              </w:rPr>
            </w:r>
            <w:r>
              <w:rPr>
                <w:color w:val="000000"/>
                <w:sz w:val="24"/>
                <w:szCs w:val="24"/>
              </w:rPr>
            </w:r>
          </w:p>
        </w:tc>
        <w:tc>
          <w:tcPr>
            <w:tcW w:w="113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39 чел.</w:t>
            </w:r>
            <w:r>
              <w:rPr>
                <w:color w:val="000000"/>
                <w:sz w:val="24"/>
                <w:szCs w:val="24"/>
              </w:rPr>
            </w:r>
            <w:r>
              <w:rPr>
                <w:color w:val="000000"/>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15 чел.</w:t>
            </w:r>
            <w:r>
              <w:rPr>
                <w:color w:val="000000"/>
                <w:sz w:val="24"/>
                <w:szCs w:val="24"/>
              </w:rPr>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w:t>
            </w:r>
            <w:r>
              <w:rPr>
                <w:i/>
                <w:color w:val="000000"/>
                <w:sz w:val="24"/>
                <w:szCs w:val="24"/>
              </w:rPr>
              <w:t xml:space="preserve">2</w:t>
            </w:r>
            <w:r>
              <w:rPr>
                <w:i/>
                <w:color w:val="000000"/>
                <w:sz w:val="24"/>
                <w:szCs w:val="24"/>
              </w:rPr>
              <w:t xml:space="preserve"> «Употребляю регулярно (раз в месяц и чаще)»</w:t>
            </w:r>
            <w:r>
              <w:rPr>
                <w:i/>
                <w:color w:val="000000"/>
                <w:sz w:val="24"/>
                <w:szCs w:val="24"/>
              </w:rPr>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чел.</w:t>
            </w:r>
            <w:r>
              <w:rPr>
                <w:color w:val="000000"/>
                <w:sz w:val="24"/>
                <w:szCs w:val="24"/>
              </w:rPr>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 чел.</w:t>
            </w:r>
            <w:r>
              <w:rPr>
                <w:color w:val="000000"/>
                <w:sz w:val="24"/>
                <w:szCs w:val="24"/>
              </w:rPr>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10 чел.</w:t>
            </w:r>
            <w:r>
              <w:rPr>
                <w:sz w:val="24"/>
                <w:szCs w:val="24"/>
              </w:rPr>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4 чел.</w:t>
            </w:r>
            <w:r>
              <w:rPr>
                <w:color w:val="000000"/>
                <w:sz w:val="24"/>
                <w:szCs w:val="24"/>
              </w:rPr>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О3 «Употребляю постоянно (несколько раз в неделю)»</w:t>
            </w:r>
            <w:r>
              <w:rPr>
                <w:i/>
                <w:color w:val="000000"/>
                <w:sz w:val="24"/>
                <w:szCs w:val="24"/>
              </w:rPr>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чел.</w:t>
            </w:r>
            <w:r>
              <w:rPr>
                <w:color w:val="000000"/>
                <w:sz w:val="24"/>
                <w:szCs w:val="24"/>
              </w:rPr>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3 чел.</w:t>
            </w:r>
            <w:r>
              <w:rPr>
                <w:sz w:val="24"/>
                <w:szCs w:val="24"/>
              </w:rPr>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w:t>
            </w:r>
            <w:r>
              <w:rPr>
                <w:i/>
                <w:color w:val="000000"/>
                <w:sz w:val="24"/>
                <w:szCs w:val="24"/>
              </w:rPr>
              <w:t xml:space="preserve">4</w:t>
            </w:r>
            <w:r>
              <w:rPr>
                <w:i/>
                <w:color w:val="000000"/>
                <w:sz w:val="24"/>
                <w:szCs w:val="24"/>
              </w:rPr>
              <w:t xml:space="preserve"> «Употребляю ежедневно»</w:t>
            </w:r>
            <w:r>
              <w:rPr>
                <w:i/>
                <w:color w:val="000000"/>
                <w:sz w:val="24"/>
                <w:szCs w:val="24"/>
              </w:rPr>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чел.</w:t>
            </w:r>
            <w:r>
              <w:rPr>
                <w:color w:val="000000"/>
                <w:sz w:val="24"/>
                <w:szCs w:val="24"/>
              </w:rPr>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lang w:val="en-US"/>
              </w:rPr>
              <w:t xml:space="preserve">0</w:t>
            </w:r>
            <w:r>
              <w:rPr>
                <w:color w:val="000000"/>
                <w:sz w:val="24"/>
                <w:szCs w:val="24"/>
              </w:rPr>
              <w:t xml:space="preserve"> чел.</w:t>
            </w:r>
            <w:r>
              <w:rPr>
                <w:color w:val="000000"/>
                <w:sz w:val="24"/>
                <w:szCs w:val="24"/>
              </w:rPr>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10 чел.</w:t>
            </w:r>
            <w:r>
              <w:rPr>
                <w:sz w:val="24"/>
                <w:szCs w:val="24"/>
              </w:rPr>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5 чел.</w:t>
            </w:r>
            <w:r>
              <w:rPr>
                <w:color w:val="000000"/>
                <w:sz w:val="24"/>
                <w:szCs w:val="24"/>
              </w:rPr>
            </w:r>
            <w:r>
              <w:rPr>
                <w:color w:val="000000"/>
                <w:sz w:val="24"/>
                <w:szCs w:val="24"/>
              </w:rPr>
            </w:r>
          </w:p>
        </w:tc>
      </w:tr>
      <w:tr>
        <w:trPr>
          <w:trHeight w:val="227"/>
        </w:trPr>
        <w:tc>
          <w:tcPr>
            <w:shd w:val="clear" w:color="auto" w:fill="auto"/>
            <w:tcW w:w="3157" w:type="dxa"/>
            <w:vAlign w:val="center"/>
            <w:textDirection w:val="lrTb"/>
            <w:noWrap/>
          </w:tcPr>
          <w:p>
            <w:pPr>
              <w:ind w:firstLine="0"/>
              <w:jc w:val="left"/>
              <w:spacing w:line="240" w:lineRule="auto"/>
              <w:rPr>
                <w:b/>
                <w:color w:val="000000"/>
                <w:sz w:val="24"/>
                <w:szCs w:val="24"/>
              </w:rPr>
            </w:pPr>
            <w:r>
              <w:rPr>
                <w:b/>
                <w:color w:val="000000"/>
                <w:sz w:val="24"/>
                <w:szCs w:val="24"/>
              </w:rPr>
              <w:t xml:space="preserve">показатель</w:t>
            </w:r>
            <w:r>
              <w:rPr>
                <w:b/>
                <w:color w:val="000000"/>
                <w:sz w:val="24"/>
                <w:szCs w:val="24"/>
              </w:rPr>
            </w:r>
            <w:r>
              <w:rPr>
                <w:b/>
                <w:color w:val="000000"/>
                <w:sz w:val="24"/>
                <w:szCs w:val="24"/>
              </w:rPr>
            </w:r>
          </w:p>
        </w:tc>
        <w:tc>
          <w:tcPr>
            <w:tcW w:w="1233"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0,9</w:t>
            </w:r>
            <w:r>
              <w:rPr>
                <w:b/>
                <w:color w:val="000000"/>
                <w:sz w:val="24"/>
                <w:szCs w:val="24"/>
              </w:rPr>
            </w:r>
            <w:r>
              <w:rPr>
                <w:b/>
                <w:color w:val="000000"/>
                <w:sz w:val="24"/>
                <w:szCs w:val="24"/>
              </w:rPr>
            </w:r>
          </w:p>
        </w:tc>
        <w:tc>
          <w:tcPr>
            <w:tcW w:w="1134"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1,34</w:t>
            </w:r>
            <w:r>
              <w:rPr>
                <w:b/>
                <w:color w:val="000000"/>
                <w:sz w:val="24"/>
                <w:szCs w:val="24"/>
              </w:rPr>
            </w:r>
            <w:r>
              <w:rPr>
                <w:b/>
                <w:color w:val="000000"/>
                <w:sz w:val="24"/>
                <w:szCs w:val="24"/>
              </w:rPr>
            </w:r>
          </w:p>
        </w:tc>
        <w:tc>
          <w:tcPr>
            <w:tcW w:w="1275" w:type="dxa"/>
            <w:vAlign w:val="center"/>
            <w:textDirection w:val="lrTb"/>
            <w:noWrap w:val="false"/>
          </w:tcPr>
          <w:p>
            <w:pPr>
              <w:ind w:firstLine="0"/>
              <w:jc w:val="center"/>
              <w:spacing w:line="240" w:lineRule="auto"/>
              <w:rPr>
                <w:b/>
                <w:color w:val="000000"/>
                <w:sz w:val="24"/>
                <w:szCs w:val="24"/>
              </w:rPr>
            </w:pPr>
            <w:r>
              <w:rPr>
                <w:b/>
                <w:color w:val="000000"/>
                <w:sz w:val="24"/>
                <w:szCs w:val="24"/>
                <w:lang w:val="en-US"/>
              </w:rPr>
              <w:t xml:space="preserve">0</w:t>
            </w:r>
            <w:r>
              <w:rPr>
                <w:b/>
                <w:color w:val="000000"/>
                <w:sz w:val="24"/>
                <w:szCs w:val="24"/>
              </w:rPr>
              <w:t xml:space="preserve">,6</w:t>
            </w:r>
            <w:r>
              <w:rPr>
                <w:b/>
                <w:color w:val="000000"/>
                <w:sz w:val="24"/>
                <w:szCs w:val="24"/>
              </w:rPr>
            </w:r>
            <w:r>
              <w:rPr>
                <w:b/>
                <w:color w:val="000000"/>
                <w:sz w:val="24"/>
                <w:szCs w:val="24"/>
              </w:rPr>
            </w:r>
          </w:p>
        </w:tc>
        <w:tc>
          <w:tcPr>
            <w:tcW w:w="1138"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0,9</w:t>
            </w:r>
            <w:r>
              <w:rPr>
                <w:b/>
                <w:color w:val="000000"/>
                <w:sz w:val="24"/>
                <w:szCs w:val="24"/>
              </w:rPr>
            </w:r>
            <w:r>
              <w:rPr>
                <w:b/>
                <w:color w:val="000000"/>
                <w:sz w:val="24"/>
                <w:szCs w:val="24"/>
              </w:rPr>
            </w:r>
          </w:p>
        </w:tc>
        <w:tc>
          <w:tcPr>
            <w:shd w:val="clear" w:color="auto" w:fill="auto"/>
            <w:tcW w:w="1237" w:type="dxa"/>
            <w:vAlign w:val="center"/>
            <w:textDirection w:val="lrTb"/>
            <w:noWrap/>
          </w:tcPr>
          <w:p>
            <w:pPr>
              <w:ind w:firstLine="0"/>
              <w:jc w:val="center"/>
              <w:spacing w:line="240" w:lineRule="auto"/>
              <w:rPr>
                <w:b/>
                <w:color w:val="000000"/>
                <w:sz w:val="24"/>
                <w:szCs w:val="24"/>
              </w:rPr>
            </w:pPr>
            <w:r>
              <w:rPr>
                <w:b/>
                <w:color w:val="000000"/>
                <w:sz w:val="24"/>
                <w:szCs w:val="24"/>
              </w:rPr>
              <w:t xml:space="preserve">0</w:t>
            </w:r>
            <w:r>
              <w:rPr>
                <w:b/>
                <w:color w:val="000000"/>
                <w:sz w:val="24"/>
                <w:szCs w:val="24"/>
              </w:rPr>
            </w:r>
            <w:r>
              <w:rPr>
                <w:b/>
                <w:color w:val="000000"/>
                <w:sz w:val="24"/>
                <w:szCs w:val="24"/>
              </w:rPr>
            </w:r>
          </w:p>
        </w:tc>
        <w:tc>
          <w:tcPr>
            <w:shd w:val="clear" w:color="auto" w:fill="auto"/>
            <w:tcW w:w="1169" w:type="dxa"/>
            <w:vAlign w:val="center"/>
            <w:textDirection w:val="lrTb"/>
            <w:noWrap/>
          </w:tcPr>
          <w:p>
            <w:pPr>
              <w:ind w:firstLine="0"/>
              <w:jc w:val="center"/>
              <w:spacing w:line="240" w:lineRule="auto"/>
              <w:rPr>
                <w:b/>
                <w:color w:val="000000"/>
                <w:sz w:val="24"/>
                <w:szCs w:val="24"/>
              </w:rPr>
            </w:pPr>
            <w:r>
              <w:rPr>
                <w:b/>
                <w:color w:val="000000"/>
                <w:sz w:val="24"/>
                <w:szCs w:val="24"/>
              </w:rPr>
              <w:t xml:space="preserve">1,2</w:t>
            </w:r>
            <w:r>
              <w:rPr>
                <w:b/>
                <w:color w:val="000000"/>
                <w:sz w:val="24"/>
                <w:szCs w:val="24"/>
              </w:rPr>
            </w:r>
            <w:r>
              <w:rPr>
                <w:b/>
                <w:color w:val="000000"/>
                <w:sz w:val="24"/>
                <w:szCs w:val="24"/>
              </w:rPr>
            </w:r>
          </w:p>
        </w:tc>
      </w:tr>
      <w:tr>
        <w:trPr>
          <w:trHeight w:val="227"/>
        </w:trPr>
        <w:tc>
          <w:tcPr>
            <w:shd w:val="clear" w:color="auto" w:fill="auto"/>
            <w:tcW w:w="3157" w:type="dxa"/>
            <w:vAlign w:val="center"/>
            <w:textDirection w:val="lrTb"/>
            <w:noWrap/>
          </w:tcPr>
          <w:p>
            <w:pPr>
              <w:ind w:firstLine="0"/>
              <w:jc w:val="left"/>
              <w:spacing w:line="240" w:lineRule="auto"/>
              <w:rPr>
                <w:color w:val="000000"/>
                <w:sz w:val="24"/>
                <w:szCs w:val="24"/>
              </w:rPr>
            </w:pPr>
            <w:r>
              <w:rPr>
                <w:color w:val="000000"/>
                <w:sz w:val="24"/>
                <w:szCs w:val="24"/>
              </w:rPr>
              <w:t xml:space="preserve">Критерии состояния наркоситуации</w:t>
            </w:r>
            <w:r>
              <w:rPr>
                <w:color w:val="000000"/>
                <w:sz w:val="24"/>
                <w:szCs w:val="24"/>
              </w:rPr>
            </w:r>
            <w:r>
              <w:rPr>
                <w:color w:val="000000"/>
                <w:sz w:val="24"/>
                <w:szCs w:val="24"/>
              </w:rPr>
            </w:r>
          </w:p>
        </w:tc>
        <w:tc>
          <w:tcPr>
            <w:tcW w:w="1233"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rPr>
                <w:b/>
                <w:color w:val="000000"/>
                <w:sz w:val="22"/>
                <w:szCs w:val="22"/>
              </w:rPr>
            </w:r>
            <w:r>
              <w:rPr>
                <w:b/>
                <w:color w:val="000000"/>
                <w:sz w:val="22"/>
                <w:szCs w:val="22"/>
              </w:rP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rPr>
                <w:b/>
                <w:color w:val="000000"/>
                <w:sz w:val="22"/>
                <w:szCs w:val="22"/>
              </w:rPr>
            </w:r>
            <w:r>
              <w:rPr>
                <w:b/>
                <w:color w:val="000000"/>
                <w:sz w:val="22"/>
                <w:szCs w:val="22"/>
              </w:rP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Нейтраль</w:t>
            </w:r>
            <w:r>
              <w:rPr>
                <w:b/>
                <w:color w:val="000000"/>
                <w:sz w:val="22"/>
                <w:szCs w:val="22"/>
              </w:rPr>
              <w:t xml:space="preserve">-</w:t>
            </w:r>
            <w:r>
              <w:rPr>
                <w:b/>
                <w:color w:val="000000"/>
                <w:sz w:val="22"/>
                <w:szCs w:val="22"/>
              </w:rPr>
              <w:t xml:space="preserve">ная</w:t>
            </w:r>
            <w:r>
              <w:rPr>
                <w:b/>
                <w:color w:val="000000"/>
                <w:sz w:val="22"/>
                <w:szCs w:val="22"/>
              </w:rPr>
            </w:r>
            <w:r>
              <w:rPr>
                <w:b/>
                <w:color w:val="000000"/>
                <w:sz w:val="22"/>
                <w:szCs w:val="22"/>
              </w:rPr>
            </w:r>
          </w:p>
        </w:tc>
        <w:tc>
          <w:tcPr>
            <w:tcW w:w="113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rPr>
                <w:b/>
                <w:color w:val="000000"/>
                <w:sz w:val="22"/>
                <w:szCs w:val="22"/>
              </w:rPr>
            </w:r>
            <w:r>
              <w:rPr>
                <w:b/>
                <w:color w:val="000000"/>
                <w:sz w:val="22"/>
                <w:szCs w:val="22"/>
              </w:rPr>
            </w:r>
          </w:p>
        </w:tc>
        <w:tc>
          <w:tcPr>
            <w:shd w:val="clear" w:color="auto" w:fill="auto"/>
            <w:tcW w:w="1237" w:type="dxa"/>
            <w:vAlign w:val="center"/>
            <w:textDirection w:val="lrTb"/>
            <w:noWrap/>
          </w:tcPr>
          <w:p>
            <w:pPr>
              <w:ind w:firstLine="0"/>
              <w:jc w:val="center"/>
              <w:spacing w:line="240" w:lineRule="auto"/>
              <w:rPr>
                <w:b/>
                <w:color w:val="000000"/>
                <w:sz w:val="22"/>
                <w:szCs w:val="22"/>
              </w:rPr>
            </w:pPr>
            <w:r>
              <w:rPr>
                <w:b/>
                <w:color w:val="000000"/>
                <w:sz w:val="22"/>
                <w:szCs w:val="22"/>
              </w:rPr>
              <w:t xml:space="preserve">Удовлет</w:t>
            </w:r>
            <w:r>
              <w:rPr>
                <w:b/>
                <w:color w:val="000000"/>
                <w:sz w:val="22"/>
                <w:szCs w:val="22"/>
              </w:rPr>
              <w:t xml:space="preserve">-</w:t>
            </w:r>
            <w:r>
              <w:rPr>
                <w:b/>
                <w:color w:val="000000"/>
                <w:sz w:val="22"/>
                <w:szCs w:val="22"/>
              </w:rPr>
              <w:t xml:space="preserve">вори</w:t>
            </w:r>
            <w:r>
              <w:rPr>
                <w:b/>
                <w:color w:val="000000"/>
                <w:sz w:val="22"/>
                <w:szCs w:val="22"/>
              </w:rPr>
              <w:t xml:space="preserve">-</w:t>
            </w:r>
            <w:r>
              <w:rPr>
                <w:b/>
                <w:color w:val="000000"/>
                <w:sz w:val="22"/>
                <w:szCs w:val="22"/>
              </w:rPr>
              <w:t xml:space="preserve">тельное</w:t>
            </w:r>
            <w:r>
              <w:rPr>
                <w:b/>
                <w:color w:val="000000"/>
                <w:sz w:val="22"/>
                <w:szCs w:val="22"/>
              </w:rPr>
            </w:r>
            <w:r>
              <w:rPr>
                <w:b/>
                <w:color w:val="000000"/>
                <w:sz w:val="22"/>
                <w:szCs w:val="22"/>
              </w:rPr>
            </w:r>
          </w:p>
        </w:tc>
        <w:tc>
          <w:tcPr>
            <w:shd w:val="clear" w:color="auto" w:fill="auto"/>
            <w:tcW w:w="1169" w:type="dxa"/>
            <w:vAlign w:val="center"/>
            <w:textDirection w:val="lrTb"/>
            <w:noWrap/>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rPr>
                <w:b/>
                <w:color w:val="000000"/>
                <w:sz w:val="22"/>
                <w:szCs w:val="22"/>
              </w:rPr>
            </w:r>
            <w:r>
              <w:rPr>
                <w:b/>
                <w:color w:val="000000"/>
                <w:sz w:val="22"/>
                <w:szCs w:val="22"/>
              </w:rPr>
            </w:r>
          </w:p>
        </w:tc>
      </w:tr>
    </w:tbl>
    <w:p>
      <w:pPr>
        <w:contextualSpacing/>
        <w:spacing w:line="240" w:lineRule="auto"/>
        <w:rPr>
          <w:highlight w:val="yellow"/>
        </w:rPr>
      </w:pPr>
      <w:r>
        <w:rPr>
          <w:highlight w:val="yellow"/>
        </w:rPr>
      </w:r>
      <w:r>
        <w:rPr>
          <w:highlight w:val="yellow"/>
        </w:rPr>
      </w:r>
      <w:r>
        <w:rPr>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rPr>
          <w:b/>
        </w:rPr>
      </w:r>
      <w:r>
        <w:rPr>
          <w:b/>
        </w:rPr>
      </w:r>
    </w:p>
    <w:p>
      <w:pPr>
        <w:pStyle w:val="1661"/>
        <w:ind w:firstLine="709"/>
        <w:jc w:val="both"/>
        <w:spacing w:after="0" w:line="276" w:lineRule="auto"/>
        <w:rPr>
          <w:b/>
          <w:i/>
          <w:sz w:val="28"/>
          <w:szCs w:val="28"/>
          <w:lang w:val="ru-RU"/>
        </w:rPr>
      </w:pPr>
      <w:r>
        <w:rPr>
          <w:b/>
          <w:i/>
          <w:sz w:val="28"/>
          <w:szCs w:val="28"/>
          <w:lang w:val="ru-RU"/>
        </w:rPr>
      </w:r>
      <w:r>
        <w:rPr>
          <w:b/>
          <w:i/>
          <w:sz w:val="28"/>
          <w:szCs w:val="28"/>
          <w:lang w:val="ru-RU"/>
        </w:rPr>
      </w:r>
      <w:r>
        <w:rPr>
          <w:b/>
          <w:i/>
          <w:sz w:val="28"/>
          <w:szCs w:val="28"/>
          <w:lang w:val="ru-RU"/>
        </w:rPr>
      </w:r>
    </w:p>
    <w:p>
      <w:pPr>
        <w:ind w:firstLine="709"/>
        <w:spacing w:line="276" w:lineRule="auto"/>
        <w:rPr>
          <w:b/>
          <w:i/>
        </w:rPr>
        <w:outlineLvl w:val="0"/>
      </w:pPr>
      <w:r>
        <w:rPr>
          <w:b/>
          <w:i/>
        </w:rPr>
        <w:t xml:space="preserve">Оценка состояния и доступности на территории автономного округа наркологической медицинской помощи</w:t>
      </w:r>
      <w:r>
        <w:rPr>
          <w:b/>
          <w:i/>
        </w:rPr>
      </w:r>
      <w:r>
        <w:rPr>
          <w:b/>
          <w:i/>
        </w:rPr>
      </w:r>
    </w:p>
    <w:p>
      <w:pPr>
        <w:ind w:firstLine="720"/>
        <w:spacing w:line="276" w:lineRule="auto"/>
      </w:pPr>
      <w:r>
        <w:t xml:space="preserve">Наркологическая помощь населению Хант</w:t>
      </w:r>
      <w:r>
        <w:t xml:space="preserve">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w:t>
      </w:r>
      <w:r>
        <w:t xml:space="preserve">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ХМАО-Югры от 02.02.2024 № 167 «Об организации оказания наркологической помощи и</w:t>
      </w:r>
      <w:r>
        <w:t xml:space="preserve"> проведения химико-токсикологических исследований на территории Ханты-Мансийского автономного округа – Югры».</w:t>
      </w:r>
      <w:r/>
    </w:p>
    <w:p>
      <w:pPr>
        <w:ind w:firstLine="720"/>
        <w:spacing w:line="276" w:lineRule="auto"/>
      </w:pPr>
      <w:r>
        <w:t xml:space="preserve">На территории автономного округа создана и функционирует трехуровневая система оказания наркологической помощи населению, которая включает следующие уровни:</w:t>
      </w:r>
      <w:r/>
    </w:p>
    <w:p>
      <w:pPr>
        <w:ind w:firstLine="720"/>
        <w:spacing w:line="276" w:lineRule="auto"/>
        <w:rPr>
          <w:u w:val="single"/>
        </w:rPr>
      </w:pPr>
      <w:r>
        <w:rPr>
          <w:u w:val="single"/>
        </w:rPr>
        <w:t xml:space="preserve">Муниципальный уровень (первый уровень)</w:t>
      </w:r>
      <w:r>
        <w:rPr>
          <w:u w:val="single"/>
        </w:rPr>
      </w:r>
      <w:r>
        <w:rPr>
          <w:u w:val="single"/>
        </w:rPr>
      </w:r>
    </w:p>
    <w:p>
      <w:pPr>
        <w:ind w:firstLine="720"/>
        <w:spacing w:line="276" w:lineRule="auto"/>
      </w:pPr>
      <w:r>
        <w:t xml:space="preserve">На этом уровне наркологическая помощь оказывается в медицинских подразделениях многопрофильных больниц. Основные виды помощи включают:</w:t>
      </w:r>
      <w:r/>
    </w:p>
    <w:p>
      <w:pPr>
        <w:ind w:firstLine="720"/>
        <w:spacing w:line="276" w:lineRule="auto"/>
      </w:pPr>
      <w:r>
        <w:t xml:space="preserve">первичную врачебн</w:t>
      </w:r>
      <w:r>
        <w:t xml:space="preserve">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r/>
    </w:p>
    <w:p>
      <w:pPr>
        <w:ind w:firstLine="720"/>
        <w:spacing w:line="276" w:lineRule="auto"/>
      </w:pPr>
      <w:r>
        <w:t xml:space="preserve">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r/>
    </w:p>
    <w:p>
      <w:pPr>
        <w:ind w:firstLine="720"/>
        <w:spacing w:line="276" w:lineRule="auto"/>
      </w:pPr>
      <w:r>
        <w:t xml:space="preserve">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r/>
    </w:p>
    <w:p>
      <w:pPr>
        <w:ind w:firstLine="720"/>
        <w:spacing w:line="276" w:lineRule="auto"/>
      </w:pPr>
      <w:r>
        <w:t xml:space="preserve">специализированную наркологическую стационарную помощь, оказываемую на наркологических койках многопрофильных медицинских </w:t>
      </w:r>
      <w:r>
        <w:t xml:space="preserve">организаций, которые расположены отдельно от специализированных психоневрологических медицинских организаций.</w:t>
      </w:r>
      <w:r/>
    </w:p>
    <w:p>
      <w:pPr>
        <w:ind w:firstLine="709"/>
        <w:spacing w:line="276" w:lineRule="auto"/>
      </w:pPr>
      <w:r>
        <w:t xml:space="preserve">Для проведения медицинской </w:t>
      </w:r>
      <w:r>
        <w:t xml:space="preserve">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w:t>
      </w:r>
      <w:r>
        <w:t xml:space="preserve">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r/>
    </w:p>
    <w:p>
      <w:pPr>
        <w:ind w:firstLine="709"/>
        <w:spacing w:line="276" w:lineRule="auto"/>
      </w:pPr>
      <w:r>
        <w:t xml:space="preserve">Стационарная наркологическая помощь в автономном округе в 2024 году оказывалась на 517-х койках, из них 414 коек – наркологические, 103 койки – реабилитационные, аналогично 2023 году. </w:t>
      </w:r>
      <w:r/>
    </w:p>
    <w:p>
      <w:pPr>
        <w:contextualSpacing/>
        <w:ind w:firstLine="708"/>
        <w:spacing w:line="276" w:lineRule="auto"/>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r/>
    </w:p>
    <w:p>
      <w:pPr>
        <w:contextualSpacing/>
        <w:ind w:firstLine="708"/>
        <w:spacing w:line="276" w:lineRule="auto"/>
      </w:pPr>
      <w:r>
        <w:t xml:space="preserve">Для медицинской реабилитации на территории автономного округа функционируют 103 койки медицинской реабилитации наркозависимых лиц (2023 году – 103 реабилитационных наркологических койки):</w:t>
      </w:r>
      <w:r/>
    </w:p>
    <w:p>
      <w:pPr>
        <w:ind w:firstLine="709"/>
        <w:spacing w:line="276" w:lineRule="auto"/>
        <w:tabs>
          <w:tab w:val="left" w:pos="6645" w:leader="none"/>
        </w:tabs>
      </w:pPr>
      <w:r>
        <w:t xml:space="preserve">казенное учреждение Ханты-Мансийского автономного округа – Югры «Лемпинский наркологический реабилитационный центр» – 50 коек;</w:t>
      </w:r>
      <w:r/>
    </w:p>
    <w:p>
      <w:pPr>
        <w:ind w:firstLine="709"/>
        <w:spacing w:line="276" w:lineRule="auto"/>
        <w:tabs>
          <w:tab w:val="left" w:pos="6645" w:leader="none"/>
        </w:tabs>
      </w:pPr>
      <w:r>
        <w:t xml:space="preserve">бюджетное учреждение Ханты-Мансийского автономного округа – Югры «Сургутская клиническая психоневрологическая больница» – 25 коек;</w:t>
      </w:r>
      <w:r/>
    </w:p>
    <w:p>
      <w:pPr>
        <w:ind w:firstLine="709"/>
        <w:spacing w:line="276" w:lineRule="auto"/>
        <w:tabs>
          <w:tab w:val="left" w:pos="6645" w:leader="none"/>
        </w:tabs>
      </w:pPr>
      <w:r>
        <w:t xml:space="preserve">бюджетное учреждение Ханты-Мансийского автономного округа – Югры «Нижневартовская психоневрологическая больница» – 25 коек;</w:t>
      </w:r>
      <w:r/>
    </w:p>
    <w:p>
      <w:pPr>
        <w:ind w:firstLine="709"/>
        <w:spacing w:line="276" w:lineRule="auto"/>
        <w:tabs>
          <w:tab w:val="left" w:pos="6645" w:leader="none"/>
        </w:tabs>
      </w:pPr>
      <w:r>
        <w:t xml:space="preserve">бюджетное учреждение Ханты-Мансийского автономного округа – Югры «Советская психоневрологическая больница», филиал в г. Урае – 3 койки.</w:t>
      </w:r>
      <w:r/>
    </w:p>
    <w:p>
      <w:pPr>
        <w:ind w:firstLine="709"/>
        <w:spacing w:line="276" w:lineRule="auto"/>
        <w:tabs>
          <w:tab w:val="left" w:pos="6645" w:leader="none"/>
        </w:tabs>
      </w:pPr>
      <w:r>
        <w:t xml:space="preserve">После прохожде</w:t>
      </w:r>
      <w:r>
        <w:t xml:space="preserve">ния диагностики, лечения и медицинской реабилитации наркозависимые, и признанных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w:t>
      </w:r>
      <w:r>
        <w:t xml:space="preserve">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r/>
    </w:p>
    <w:p>
      <w:pPr>
        <w:ind w:firstLine="709"/>
        <w:spacing w:line="276" w:lineRule="auto"/>
      </w:pPr>
      <w:r>
        <w:t xml:space="preserve">Для этих целей на территории автономного округа применяется Регламент взаимодейст</w:t>
      </w:r>
      <w:r>
        <w:t xml:space="preserve">вия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w:t>
      </w:r>
      <w:r>
        <w:t xml:space="preserve">о</w:t>
      </w:r>
      <w:r>
        <w:t xml:space="preserve">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w:t>
        <w:br/>
        <w:t xml:space="preserve">Ханты-Мансийского автономного округа – Югры </w:t>
      </w:r>
      <w:r>
        <w:rPr>
          <w:rFonts w:eastAsia="SimSun"/>
        </w:rPr>
        <w:t xml:space="preserve">от</w:t>
      </w:r>
      <w:r>
        <w:rPr>
          <w:rFonts w:eastAsia="SimSun"/>
        </w:rPr>
        <w:t xml:space="preserve"> 05.02.2024 № 182/224р/17-83/710-П-162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w:t>
      </w:r>
      <w:r>
        <w:rPr>
          <w:rFonts w:eastAsia="SimSun"/>
        </w:rPr>
        <w:t xml:space="preserve">в</w:t>
      </w:r>
      <w:r>
        <w:rPr>
          <w:rFonts w:eastAsia="SimSun"/>
        </w:rPr>
        <w:t xml:space="preserve"> </w:t>
      </w:r>
      <w:r>
        <w:rPr>
          <w:rFonts w:eastAsia="SimSun"/>
        </w:rPr>
        <w:t xml:space="preserve">Ханты-Мансийском</w:t>
      </w:r>
      <w:r>
        <w:rPr>
          <w:rFonts w:eastAsia="SimSun"/>
        </w:rPr>
        <w:t xml:space="preserve"> автономном округе – Югре».</w:t>
      </w:r>
      <w:r/>
    </w:p>
    <w:p>
      <w:pPr>
        <w:ind w:firstLine="709"/>
        <w:spacing w:line="276" w:lineRule="auto"/>
      </w:pPr>
      <w:r>
        <w:t xml:space="preserve">На территории Югры </w:t>
      </w:r>
      <w:r>
        <w:t xml:space="preserve">условно-осужденные</w:t>
      </w:r>
      <w:r>
        <w:t xml:space="preserve"> лица, страдающие наркологиче</w:t>
      </w:r>
      <w: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ind w:firstLine="709"/>
        <w:spacing w:line="276" w:lineRule="auto"/>
      </w:pPr>
      <w:r>
        <w:t xml:space="preserve">Обеспечение курсов обязательного или альтернативного лечения </w:t>
      </w:r>
      <w:r>
        <w:t xml:space="preserve">условно-осужденных</w:t>
      </w:r>
      <w:r>
        <w:t xml:space="preserve">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p>
    <w:p>
      <w:pPr>
        <w:ind w:firstLine="709"/>
        <w:spacing w:line="276" w:lineRule="auto"/>
        <w:tabs>
          <w:tab w:val="left" w:pos="6645" w:leader="none"/>
        </w:tabs>
      </w:pPr>
      <w:r>
        <w:t xml:space="preserve">Кроме того, реализ</w:t>
      </w:r>
      <w:r>
        <w:t xml:space="preserve">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w:t>
      </w:r>
      <w:r>
        <w:t xml:space="preserve"> округа – Югре от 18.10.2016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w:t>
      </w:r>
      <w:r>
        <w:t xml:space="preserve"> </w:t>
      </w:r>
      <w:r>
        <w:t xml:space="preserve">психотропных веществ без назначения врача» и приказ Депздрава Югры от 11</w:t>
      </w:r>
      <w:r>
        <w:t xml:space="preserve">.09.2015</w:t>
      </w:r>
      <w:r>
        <w:t xml:space="preserve"> № 962 «О внесении изменений в приказ Департамента здравоохранения Ханты-Мансийского автономного </w:t>
        <w:br/>
        <w:t xml:space="preserve">округа – Югры от 10</w:t>
      </w:r>
      <w:r>
        <w:t xml:space="preserve">12.</w:t>
      </w:r>
      <w:r>
        <w:t xml:space="preserve">2014 № 1249 «Об организации лечения и медико-социальной реа</w:t>
      </w:r>
      <w:r>
        <w:t xml:space="preserve">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r/>
    </w:p>
    <w:p>
      <w:pPr>
        <w:ind w:firstLine="709"/>
        <w:spacing w:line="276" w:lineRule="auto"/>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r/>
    </w:p>
    <w:p>
      <w:pPr>
        <w:ind w:firstLine="709"/>
        <w:spacing w:line="276" w:lineRule="auto"/>
        <w:rPr>
          <w:u w:val="single"/>
        </w:rPr>
      </w:pPr>
      <w:r>
        <w:rPr>
          <w:u w:val="single"/>
        </w:rPr>
        <w:t xml:space="preserve">Межрайонный (второй) уровень</w:t>
      </w:r>
      <w:r>
        <w:rPr>
          <w:u w:val="single"/>
        </w:rPr>
      </w:r>
      <w:r>
        <w:rPr>
          <w:u w:val="single"/>
        </w:rPr>
      </w:r>
    </w:p>
    <w:p>
      <w:pPr>
        <w:ind w:firstLine="709"/>
        <w:spacing w:line="276" w:lineRule="auto"/>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r/>
    </w:p>
    <w:p>
      <w:pPr>
        <w:ind w:firstLine="709"/>
        <w:spacing w:line="276" w:lineRule="auto"/>
      </w:pPr>
      <w: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r/>
    </w:p>
    <w:p>
      <w:pPr>
        <w:ind w:firstLine="709"/>
        <w:spacing w:line="276" w:lineRule="auto"/>
        <w:rPr>
          <w:bCs/>
        </w:rPr>
      </w:pPr>
      <w:r>
        <w:t xml:space="preserve">Медицинских организаций, оказывающих наркологическую помощь</w:t>
      </w:r>
      <w:r>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r>
        <w:rPr>
          <w:bCs/>
        </w:rPr>
      </w:r>
      <w:r>
        <w:rPr>
          <w:bCs/>
        </w:rPr>
      </w:r>
    </w:p>
    <w:p>
      <w:pPr>
        <w:ind w:firstLine="709"/>
        <w:spacing w:line="276" w:lineRule="auto"/>
      </w:pPr>
      <w:r>
        <w:t xml:space="preserve">Химико-токсикологические исследования проводятся в клинических лабораториях психоневрологических учреждений:</w:t>
      </w:r>
      <w:r/>
    </w:p>
    <w:p>
      <w:pPr>
        <w:ind w:firstLine="709"/>
        <w:spacing w:line="276" w:lineRule="auto"/>
        <w:tabs>
          <w:tab w:val="left" w:pos="1080" w:leader="none"/>
          <w:tab w:val="left" w:pos="1260" w:leader="none"/>
        </w:tabs>
      </w:pPr>
      <w:r>
        <w:t xml:space="preserve">бюджетное учреждение Ханты-Мансийского автономного </w:t>
        <w:br/>
        <w:t xml:space="preserve">округа – Югры</w:t>
      </w:r>
      <w:r>
        <w:t xml:space="preserve"> «Нижневартовская психоневрологическая больница», </w:t>
        <w:br/>
        <w:t xml:space="preserve">г. Нижневартовск; </w:t>
      </w:r>
      <w:r/>
    </w:p>
    <w:p>
      <w:pPr>
        <w:ind w:firstLine="709"/>
        <w:spacing w:line="276" w:lineRule="auto"/>
        <w:tabs>
          <w:tab w:val="left" w:pos="1080" w:leader="none"/>
          <w:tab w:val="left" w:pos="1260" w:leader="none"/>
        </w:tabs>
      </w:pPr>
      <w:r>
        <w:t xml:space="preserve">бюджетное учреждение Ханты-Мансийского автономного </w:t>
        <w:br/>
        <w:t xml:space="preserve">округа – Югры</w:t>
      </w:r>
      <w:r>
        <w:t xml:space="preserve"> «Психоневрологическая больница имени Святой Преподобномученицы Елизаветы», г. Мегион;</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w:t>
      </w:r>
      <w:r>
        <w:t xml:space="preserve"> Югры</w:t>
      </w:r>
      <w:r>
        <w:t xml:space="preserve"> «Ханты-Мансийская клиническая психоневрологическая больница», </w:t>
        <w:br/>
        <w:t xml:space="preserve">г. Ханты-Мансийск;</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 Югры</w:t>
      </w:r>
      <w:r>
        <w:t xml:space="preserve"> «Сургутская клиническая психоневрологическая больница», г. Сургут; </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 Югры</w:t>
      </w:r>
      <w:r>
        <w:t xml:space="preserve"> «Советская психоневрологическая больница», п. Алябьевский, Советский район.</w:t>
      </w:r>
      <w:r/>
    </w:p>
    <w:p>
      <w:pPr>
        <w:ind w:firstLine="709"/>
        <w:spacing w:line="276" w:lineRule="auto"/>
        <w:tabs>
          <w:tab w:val="left" w:pos="1080" w:leader="none"/>
          <w:tab w:val="left" w:pos="1260" w:leader="none"/>
        </w:tabs>
      </w:pPr>
      <w:r>
        <w:t xml:space="preserve">Приказом Департамента здравоохранения Ханты-Мансийского автономного округа</w:t>
      </w:r>
      <w:r>
        <w:t xml:space="preserve"> </w:t>
      </w:r>
      <w:r>
        <w:t xml:space="preserve">– Югры от 01.04.2024 № 487 «Об организации медицинского освидетельствования граждан на состояние опьянения (алкогольного, наркотического и иного токсического) на территории </w:t>
        <w:br/>
        <w:t xml:space="preserve">Ханты-Мансийского автономного округа – Югры» утверждены перечень медицинских орган</w:t>
      </w:r>
      <w:r>
        <w:t xml:space="preserve">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и схема маршрутизации биологического материала на химико-</w:t>
      </w:r>
      <w:r>
        <w:t xml:space="preserve">токсикологическое</w:t>
      </w:r>
      <w:r>
        <w:t xml:space="preserve"> исследование по определению алкоголя, наркотических средств и психоактивных веществ.</w:t>
      </w:r>
      <w:r/>
    </w:p>
    <w:p>
      <w:pPr>
        <w:ind w:firstLine="709"/>
        <w:spacing w:line="276" w:lineRule="auto"/>
        <w:tabs>
          <w:tab w:val="left" w:pos="1080" w:leader="none"/>
          <w:tab w:val="left" w:pos="1260" w:leader="none"/>
        </w:tabs>
      </w:pPr>
      <w:r>
        <w:t xml:space="preserve">Медицинские освидетельствования на состояние опьянения проводятся во всех пяти психоневрологических больница</w:t>
      </w:r>
      <w:r>
        <w:t xml:space="preserve">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r/>
    </w:p>
    <w:p>
      <w:pPr>
        <w:ind w:firstLine="709"/>
        <w:spacing w:line="276" w:lineRule="auto"/>
        <w:tabs>
          <w:tab w:val="left" w:pos="1080" w:leader="none"/>
          <w:tab w:val="left" w:pos="1260" w:leader="none"/>
        </w:tabs>
      </w:pPr>
      <w:r>
        <w:t xml:space="preserve">Между шестью специализированными медицинскими организациями,</w:t>
      </w:r>
      <w:r>
        <w:t xml:space="preserve"> оказывающими наркологическую помощь (</w:t>
      </w:r>
      <w:r>
        <w:t xml:space="preserve">«Ханты-Мансийская клиническая психоневрологическая больница», </w:t>
      </w:r>
      <w:r>
        <w:t xml:space="preserve">«Советская психоневролог</w:t>
      </w:r>
      <w:r>
        <w:t xml:space="preserve">ическая больница», </w:t>
      </w:r>
      <w:r>
        <w:t xml:space="preserve">«Нижневартовская психоневрологическая больница», </w:t>
      </w:r>
      <w:r>
        <w:t xml:space="preserve"> «Сургутская клиническая психоневрологическая больница», </w:t>
      </w:r>
      <w:r>
        <w:rPr>
          <w:bCs/>
        </w:rPr>
        <w:t xml:space="preserve">«Психоневрологическая больница имени Святой Преподобномученицы Елизаветы» и</w:t>
      </w:r>
      <w:r>
        <w:t xml:space="preserve"> </w:t>
      </w:r>
      <w:r>
        <w:t xml:space="preserve">«Лемпинский наркологический реабилитационный центр») заключены соглашения о сотрудничестве между епархиями Р</w:t>
      </w:r>
      <w:r>
        <w:t xml:space="preserve">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r/>
    </w:p>
    <w:p>
      <w:pPr>
        <w:ind w:firstLine="709"/>
        <w:spacing w:line="276" w:lineRule="auto"/>
      </w:pPr>
      <w:r>
        <w:t xml:space="preserve">Комплексные судебно-психиатрические экспертизы на наличие нарколог</w:t>
      </w:r>
      <w:r>
        <w:t xml:space="preserve">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r/>
    </w:p>
    <w:p>
      <w:pPr>
        <w:ind w:firstLine="709"/>
        <w:spacing w:line="276" w:lineRule="auto"/>
      </w:pPr>
      <w:r>
        <w:t xml:space="preserve">Организационно-методическое руководство</w:t>
      </w:r>
      <w:r>
        <w:t xml:space="preserve">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r/>
    </w:p>
    <w:p>
      <w:pPr>
        <w:ind w:firstLine="709"/>
        <w:spacing w:line="276" w:lineRule="auto"/>
        <w:rPr>
          <w:u w:val="single"/>
        </w:rPr>
      </w:pPr>
      <w:r>
        <w:rPr>
          <w:u w:val="single"/>
        </w:rPr>
        <w:t xml:space="preserve">Региональный уровень (третий уровень)</w:t>
      </w:r>
      <w:r>
        <w:rPr>
          <w:u w:val="single"/>
        </w:rPr>
      </w:r>
      <w:r>
        <w:rPr>
          <w:u w:val="single"/>
        </w:rPr>
      </w:r>
    </w:p>
    <w:p>
      <w:pPr>
        <w:ind w:firstLine="709"/>
        <w:spacing w:line="276" w:lineRule="auto"/>
      </w:pPr>
      <w:r>
        <w:t xml:space="preserve">На этом уровне специализированная наркологическая помощь оказывается в медицинской организации автономного округа бюджетным </w:t>
      </w:r>
      <w:r>
        <w:t xml:space="preserve">учреждением Ханты-Мансийского автономного округа – Югры «Сургутская клиническая психоневрологическая больница».</w:t>
      </w:r>
      <w:r/>
    </w:p>
    <w:p>
      <w:pPr>
        <w:ind w:firstLine="709"/>
        <w:spacing w:line="276" w:lineRule="auto"/>
      </w:pPr>
      <w:r>
        <w:t xml:space="preserve">Головным уч</w:t>
      </w:r>
      <w:r>
        <w:t xml:space="preserve">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w:t>
      </w:r>
      <w:r>
        <w:t xml:space="preserve">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r/>
    </w:p>
    <w:p>
      <w:pPr>
        <w:ind w:firstLine="709"/>
        <w:spacing w:line="276" w:lineRule="auto"/>
      </w:pPr>
      <w: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r/>
    </w:p>
    <w:p>
      <w:pPr>
        <w:ind w:firstLine="709"/>
        <w:spacing w:line="276" w:lineRule="auto"/>
      </w:pPr>
      <w:r>
        <w:t xml:space="preserve">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r/>
    </w:p>
    <w:p>
      <w:pPr>
        <w:ind w:firstLine="709"/>
        <w:spacing w:line="276" w:lineRule="auto"/>
      </w:pPr>
      <w:r>
        <w:t xml:space="preserve">В соответствии</w:t>
      </w:r>
      <w:r>
        <w:t xml:space="preserve"> с</w:t>
      </w:r>
      <w:r>
        <w:t xml:space="preserve"> приказом Депздрава Югры от 29.12.2017 № 1502 </w:t>
        <w:br/>
        <w:t xml:space="preserve">«О контроле качества химико-токсикологических исследований в психоневрологических больницах Ханты-Мансийского автономного </w:t>
        <w:br/>
        <w:t xml:space="preserve">округа – Югры» осуществляется контроль качества химико-токсикологических исследований.</w:t>
      </w:r>
      <w:r/>
    </w:p>
    <w:p>
      <w:pPr>
        <w:ind w:firstLine="709"/>
        <w:spacing w:line="276" w:lineRule="auto"/>
      </w:pPr>
      <w:r>
        <w:t xml:space="preserve">Реализация данной модели позволяет осуществлять этапы проведен</w:t>
      </w:r>
      <w: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r/>
    </w:p>
    <w:p>
      <w:pPr>
        <w:ind w:firstLine="709"/>
        <w:spacing w:line="276" w:lineRule="auto"/>
      </w:pPr>
      <w:r>
        <w:t xml:space="preserve">Таким образом, на территории авто</w:t>
      </w:r>
      <w: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t xml:space="preserve">климато-географических</w:t>
      </w:r>
      <w:r>
        <w:t xml:space="preserve">,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w:t>
      </w:r>
      <w:r>
        <w:t xml:space="preserve">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r/>
    </w:p>
    <w:p>
      <w:pPr>
        <w:ind w:firstLine="709"/>
        <w:spacing w:line="276" w:lineRule="auto"/>
      </w:pPr>
      <w:r>
        <w:t xml:space="preserve">В </w:t>
      </w:r>
      <w:r>
        <w:t xml:space="preserve">автономном округе</w:t>
      </w:r>
      <w:r>
        <w:t xml:space="preserve"> медицинская реабилитация наркологических больных осуществляется как в стационарных (на наркологических реабилитационных койках круглосуточного стационара), так и в амбулаторных условиях.</w:t>
      </w:r>
      <w:r/>
    </w:p>
    <w:p>
      <w:pPr>
        <w:ind w:firstLine="709"/>
        <w:spacing w:line="276" w:lineRule="auto"/>
      </w:pPr>
      <w: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r/>
    </w:p>
    <w:p>
      <w:pPr>
        <w:ind w:firstLine="709"/>
        <w:spacing w:line="276" w:lineRule="auto"/>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w:t>
      </w:r>
      <w:r>
        <w:t xml:space="preserve">ПН</w:t>
      </w:r>
      <w:r>
        <w:t xml:space="preserve"> им. В.П. Сербского» Минздрава России. </w:t>
      </w:r>
      <w:r/>
    </w:p>
    <w:p>
      <w:pPr>
        <w:ind w:firstLine="709"/>
        <w:spacing w:line="276" w:lineRule="auto"/>
      </w:pPr>
      <w:r>
        <w:t xml:space="preserve">Выстро</w:t>
      </w:r>
      <w: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r/>
    </w:p>
    <w:p>
      <w:pPr>
        <w:pStyle w:val="1661"/>
        <w:ind w:firstLine="709"/>
        <w:jc w:val="both"/>
        <w:spacing w:after="0" w:line="276" w:lineRule="auto"/>
        <w:rPr>
          <w:b/>
          <w:sz w:val="28"/>
          <w:szCs w:val="28"/>
          <w:lang w:val="ru-RU"/>
        </w:rPr>
      </w:pPr>
      <w:r>
        <w:rPr>
          <w:b/>
          <w:sz w:val="28"/>
          <w:szCs w:val="28"/>
          <w:lang w:val="ru-RU"/>
        </w:rPr>
      </w:r>
      <w:r>
        <w:rPr>
          <w:b/>
          <w:sz w:val="28"/>
          <w:szCs w:val="28"/>
          <w:lang w:val="ru-RU"/>
        </w:rPr>
      </w:r>
      <w:r>
        <w:rPr>
          <w:b/>
          <w:sz w:val="28"/>
          <w:szCs w:val="28"/>
          <w:lang w:val="ru-RU"/>
        </w:rPr>
      </w:r>
    </w:p>
    <w:p>
      <w:pPr>
        <w:ind w:firstLine="709"/>
        <w:spacing w:line="276" w:lineRule="auto"/>
        <w:rPr>
          <w:b/>
          <w:i/>
        </w:rPr>
        <w:outlineLvl w:val="0"/>
      </w:pPr>
      <w:r>
        <w:rPr>
          <w:b/>
          <w:i/>
        </w:rPr>
        <w:t xml:space="preserve">Анализ, оценка работы по мотивации наркопотребителей к прохождению лечения от наркозависимости, реабилитации и ресоциализации</w:t>
      </w:r>
      <w:r>
        <w:rPr>
          <w:b/>
          <w:i/>
        </w:rPr>
      </w:r>
      <w:r>
        <w:rPr>
          <w:b/>
          <w:i/>
        </w:rPr>
      </w:r>
    </w:p>
    <w:p>
      <w:pPr>
        <w:ind w:firstLine="709"/>
        <w:spacing w:line="276" w:lineRule="auto"/>
      </w:pPr>
      <w:r>
        <w:t xml:space="preserve">В Ханты-Мансийском автономном округе – Югре медицинскими организациями, оказывающими наркологическую помощь, оказывается</w:t>
      </w:r>
      <w:r>
        <w:t xml:space="preserve">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w:t>
      </w:r>
      <w:r>
        <w:t xml:space="preserve">.11.</w:t>
      </w:r>
      <w:r>
        <w:t xml:space="preserve">2011 №  323-ФЗ «Об основах охраны здоровья граждан в Российской Федерации» и федеральным законом Российской Федерации от 02</w:t>
      </w:r>
      <w:r>
        <w:t xml:space="preserve">.07.</w:t>
      </w:r>
      <w:r>
        <w:t xml:space="preserve">1992 № 3185-1 «О психиатрической помощи и гарантиях прав граждан при её оказании», приказом Министерства</w:t>
      </w:r>
      <w:r>
        <w:t xml:space="preserve"> здравоохранения РФ от 30.12.201</w:t>
      </w:r>
      <w: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p>
    <w:p>
      <w:pPr>
        <w:ind w:firstLine="709"/>
        <w:spacing w:line="276" w:lineRule="auto"/>
        <w:tabs>
          <w:tab w:val="left" w:pos="6645" w:leader="none"/>
        </w:tabs>
      </w:pPr>
      <w: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r/>
    </w:p>
    <w:p>
      <w:pPr>
        <w:ind w:firstLine="709"/>
        <w:spacing w:line="276" w:lineRule="auto"/>
        <w:tabs>
          <w:tab w:val="left" w:pos="6645" w:leader="none"/>
        </w:tabs>
      </w:pPr>
      <w:r>
        <w:t xml:space="preserve">Медицинскими организациями автономного округа ведется работа по медицинской реабилитации наркозависимых лиц. </w:t>
      </w:r>
      <w:r/>
    </w:p>
    <w:p>
      <w:pPr>
        <w:ind w:firstLine="709"/>
        <w:spacing w:line="276" w:lineRule="auto"/>
        <w:tabs>
          <w:tab w:val="left" w:pos="6645" w:leader="none"/>
        </w:tabs>
      </w:pPr>
      <w:r>
        <w:t xml:space="preserve">Количество реабилитационных коек в Югре в 2024 году составило 103, показатель сохранился на уровне </w:t>
      </w:r>
      <w:r>
        <w:t xml:space="preserve">2023</w:t>
      </w:r>
      <w:r>
        <w:t xml:space="preserve"> года (количество </w:t>
      </w:r>
      <w:r>
        <w:t xml:space="preserve">реабилитационных наркологических коек составляло в 2017 году – 128; в 2018-2021 годы – 117; в 2022 году – 111 реабилитационных коек).</w:t>
      </w:r>
      <w:r/>
    </w:p>
    <w:p>
      <w:pPr>
        <w:ind w:firstLine="709"/>
        <w:spacing w:line="276" w:lineRule="auto"/>
        <w:tabs>
          <w:tab w:val="left" w:pos="6645" w:leader="none"/>
        </w:tabs>
      </w:pPr>
      <w:r>
        <w:t xml:space="preserve">Услуги по длительной стационарной медицинской реабилитации в автономном округе оказываются в казенном учреждении Ханты-Мансийского автономного округа – Югры «Лемпинский наркологический реабилитационный центр», имеющим 50 коек. </w:t>
      </w:r>
      <w:r/>
    </w:p>
    <w:p>
      <w:pPr>
        <w:ind w:firstLine="709"/>
        <w:spacing w:line="276" w:lineRule="auto"/>
        <w:tabs>
          <w:tab w:val="left" w:pos="6645" w:leader="none"/>
        </w:tabs>
      </w:pPr>
      <w:r>
        <w:t xml:space="preserve">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психоневрологической больнице (25 коек), Нижневартовской психоневрологической больнице (25 коек). </w:t>
      </w:r>
      <w:r/>
    </w:p>
    <w:p>
      <w:pPr>
        <w:pStyle w:val="1661"/>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2024 </w:t>
      </w:r>
      <w:r>
        <w:rPr>
          <w:sz w:val="28"/>
          <w:szCs w:val="28"/>
        </w:rPr>
        <w:t xml:space="preserve">года, находятся в ремиссии: от 6 месяцев до 1 года </w:t>
      </w:r>
      <w:r>
        <w:rPr>
          <w:sz w:val="28"/>
          <w:szCs w:val="28"/>
          <w:lang w:val="ru-RU"/>
        </w:rPr>
        <w:t xml:space="preserve">22,7 больных на 100 больных среднегодового контингента с наркотической зависимостью (2023 год – 16,2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16,8 на 100 больных среднегодового контингента (2023 год – 20,0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17,7 на 100 больных среднегодового контингента (2023 год – 16,2 на 100 больных среднегодового контингента)</w:t>
      </w:r>
      <w:r>
        <w:rPr>
          <w:sz w:val="28"/>
          <w:szCs w:val="28"/>
        </w:rPr>
        <w:t xml:space="preserve">.</w:t>
      </w:r>
      <w:r>
        <w:rPr>
          <w:sz w:val="28"/>
          <w:szCs w:val="28"/>
        </w:rPr>
      </w:r>
      <w:r>
        <w:rPr>
          <w:sz w:val="28"/>
          <w:szCs w:val="28"/>
        </w:rPr>
      </w:r>
    </w:p>
    <w:p>
      <w:pPr>
        <w:ind w:firstLine="709"/>
        <w:spacing w:line="276" w:lineRule="auto"/>
      </w:pPr>
      <w:r>
        <w:t xml:space="preserve">В</w:t>
      </w:r>
      <w:r>
        <w:t xml:space="preserve"> 2024 год</w:t>
      </w:r>
      <w:r>
        <w:t xml:space="preserve">у</w:t>
      </w:r>
      <w:r>
        <w:t xml:space="preserve"> в </w:t>
      </w:r>
      <w:r>
        <w:t xml:space="preserve">автономном</w:t>
      </w:r>
      <w:r>
        <w:t xml:space="preserve"> округ</w:t>
      </w:r>
      <w:r>
        <w:t xml:space="preserve">е</w:t>
      </w:r>
      <w:r>
        <w:t xml:space="preserve"> на наркологических и психиатрических койках пролечено 636 человек с различными наркологическими расстройствами (АППГ – 660), связанными с употреблением наркотиков.</w:t>
      </w:r>
      <w:r/>
    </w:p>
    <w:p>
      <w:pPr>
        <w:ind w:firstLine="709"/>
        <w:spacing w:line="276" w:lineRule="auto"/>
      </w:pPr>
      <w:r>
        <w:t xml:space="preserve">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w:t>
      </w:r>
      <w:r>
        <w:t xml:space="preserve">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r/>
    </w:p>
    <w:p>
      <w:pPr>
        <w:ind w:firstLine="709"/>
        <w:spacing w:line="276" w:lineRule="auto"/>
      </w:pPr>
      <w:r>
        <w:t xml:space="preserve">Кроме того, в 2024 году 4,0 % больных наркотической зависимостью (абс. 56) из числа состоящих под наблюдением в 2024 году больных с наркоманией были включены </w:t>
      </w:r>
      <w:r>
        <w:t xml:space="preserve">в программы амбулаторной реабилитации, 67,9 % из них успешно завершили реабилитационные программы (абс. 38 чел.). В 2023 году 4,2 % наркозависимых были включены (абс. 60) в амбулаторные реабилитационные программы, 58,3 % из них их завершили (абс. 35 чел.).</w:t>
      </w:r>
      <w:r/>
    </w:p>
    <w:p>
      <w:pPr>
        <w:ind w:firstLine="709"/>
        <w:spacing w:line="276" w:lineRule="auto"/>
        <w:tabs>
          <w:tab w:val="left" w:pos="6645" w:leader="none"/>
        </w:tabs>
      </w:pPr>
      <w:r>
        <w:t xml:space="preserve">После прохождения диагностики, лечения и медицинской реабилитации наркозависимые, и признанны</w:t>
      </w:r>
      <w:r>
        <w:t xml:space="preserve">е</w:t>
      </w:r>
      <w:r>
        <w:t xml:space="preserve"> нуждающимися в социальном обслуживании, направляются для прохождения социальной реабилитации в </w:t>
      </w:r>
      <w:r>
        <w:t xml:space="preserve">социальные учреждения, подведомственные Департаменту социального развития Ханты-</w:t>
      </w:r>
      <w:r>
        <w:t xml:space="preserve">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r/>
    </w:p>
    <w:p>
      <w:pPr>
        <w:ind w:firstLine="709"/>
        <w:spacing w:line="276" w:lineRule="auto"/>
        <w:tabs>
          <w:tab w:val="left" w:pos="6645" w:leader="none"/>
        </w:tabs>
      </w:pPr>
      <w:r>
        <w:t xml:space="preserve">Для этих целей на территории автономного округа применяется Регламент взаимодействи</w:t>
      </w:r>
      <w:r>
        <w:t xml:space="preserve">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w:t>
      </w:r>
      <w:r>
        <w:t xml:space="preserve">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w:t>
      </w:r>
      <w:r>
        <w:t xml:space="preserve"> 05.02.2024 № 182/224р/17-83/710-П-162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w:t>
      </w:r>
      <w:r>
        <w:t xml:space="preserve">в</w:t>
      </w:r>
      <w:r>
        <w:t xml:space="preserve"> </w:t>
      </w:r>
      <w:r>
        <w:t xml:space="preserve">Ханты-Мансийском</w:t>
      </w:r>
      <w:r>
        <w:t xml:space="preserve"> автономном округе – Югре».</w:t>
      </w:r>
      <w:r/>
    </w:p>
    <w:p>
      <w:pPr>
        <w:ind w:firstLine="709"/>
        <w:spacing w:line="276" w:lineRule="auto"/>
        <w:tabs>
          <w:tab w:val="left" w:pos="6645" w:leader="none"/>
        </w:tabs>
      </w:pPr>
      <w:r>
        <w:t xml:space="preserve">Наркологическая служба </w:t>
      </w:r>
      <w:r>
        <w:t xml:space="preserve">Югры взаимодействует со следующими организациями в сфере социальной реабилитации и ресоциализации </w:t>
      </w:r>
      <w:r>
        <w:t xml:space="preserve">зависимых</w:t>
      </w:r>
      <w:r>
        <w:t xml:space="preserve">:</w:t>
      </w:r>
      <w:r/>
    </w:p>
    <w:p>
      <w:pPr>
        <w:ind w:firstLine="709"/>
        <w:spacing w:line="276" w:lineRule="auto"/>
      </w:pPr>
      <w:r>
        <w:t xml:space="preserve">- государственная организация социального обслуживания, подведомственная Департаменту социального развития ХМАО-Югры: </w:t>
      </w:r>
      <w:r/>
    </w:p>
    <w:p>
      <w:pPr>
        <w:ind w:left="0" w:right="0" w:firstLine="709"/>
        <w:spacing w:line="276" w:lineRule="auto"/>
      </w:pPr>
      <w:r>
        <w:t xml:space="preserve">- БУ ХМАО-Югры «Советский районный социально-реабилитационный центр для несовершеннолетних»</w:t>
      </w:r>
      <w:r>
        <w:rPr>
          <w:rStyle w:val="1655"/>
        </w:rPr>
        <w:footnoteReference w:id="33"/>
      </w:r>
      <w:r>
        <w:t xml:space="preserve"> (50 койко-мест), Советский район, пос. Пионерский.</w:t>
      </w:r>
      <w:r/>
    </w:p>
    <w:p>
      <w:pPr>
        <w:ind w:firstLine="709"/>
        <w:spacing w:line="276" w:lineRule="auto"/>
      </w:pPr>
      <w:r>
        <w:t xml:space="preserve">- негосударственные организации, осуществляющие социальную реабилитацию и ресоциализацию лиц, употреблявших наркотические, психотропные и (или) иные токсические вещества и прошедших обследование и лечение от зависимости</w:t>
      </w:r>
      <w:r>
        <w:rPr>
          <w:rStyle w:val="1655"/>
        </w:rPr>
        <w:footnoteReference w:id="34"/>
      </w:r>
      <w:r>
        <w:t xml:space="preserve">:</w:t>
      </w:r>
      <w:r/>
    </w:p>
    <w:p>
      <w:pPr>
        <w:ind w:left="0" w:right="0" w:firstLine="709"/>
        <w:spacing w:line="276" w:lineRule="auto"/>
      </w:pPr>
      <w:r>
        <w:t xml:space="preserve">- автономная некоммерческая организация «Центр социальной реабилитации «Феникс», г. Нижневартовск (на 35 койко-мест)</w:t>
      </w:r>
      <w:r>
        <w:rPr>
          <w:rStyle w:val="1655"/>
        </w:rPr>
        <w:footnoteReference w:id="35"/>
      </w:r>
      <w:r>
        <w:t xml:space="preserve">;</w:t>
      </w:r>
      <w:r/>
    </w:p>
    <w:p>
      <w:pPr>
        <w:ind w:left="0" w:right="0" w:firstLine="709"/>
        <w:spacing w:line="276" w:lineRule="auto"/>
      </w:pPr>
      <w:r>
        <w:t xml:space="preserve">- региональная общественная организация по профилактике и реабилитации лиц, страдающих заболеваниями наркоманией и </w:t>
      </w:r>
      <w:r>
        <w:t xml:space="preserve">алкоголизмом «Чистый путь» (реабилитационный центр «Гармония», полустационарное социальное обслуживание на 110 мест), г. Сургут</w:t>
      </w:r>
      <w:r>
        <w:rPr>
          <w:rStyle w:val="1655"/>
        </w:rPr>
        <w:footnoteReference w:id="36"/>
      </w:r>
      <w:r>
        <w:t xml:space="preserve">; </w:t>
      </w:r>
      <w:r/>
    </w:p>
    <w:p>
      <w:pPr>
        <w:ind w:left="0" w:right="0" w:firstLine="709"/>
        <w:spacing w:line="276" w:lineRule="auto"/>
      </w:pPr>
      <w:r>
        <w:t xml:space="preserve">-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rPr>
          <w:rStyle w:val="1655"/>
        </w:rPr>
        <w:footnoteReference w:id="37"/>
      </w:r>
      <w:r>
        <w:t xml:space="preserve">;</w:t>
      </w:r>
      <w:r/>
    </w:p>
    <w:p>
      <w:pPr>
        <w:ind w:left="0" w:right="0" w:firstLine="709"/>
        <w:spacing w:line="276" w:lineRule="auto"/>
      </w:pPr>
      <w:r>
        <w:t xml:space="preserve">- Благотворительный Фонд социальной и духовной помощи «Вефиль» (г. Югорск)</w:t>
      </w:r>
      <w:r>
        <w:rPr>
          <w:rStyle w:val="1655"/>
        </w:rPr>
        <w:footnoteReference w:id="38"/>
      </w:r>
      <w:r>
        <w:t xml:space="preserve">;</w:t>
      </w:r>
      <w:r/>
    </w:p>
    <w:p>
      <w:pPr>
        <w:ind w:left="0" w:right="0" w:firstLine="709"/>
        <w:spacing w:line="276" w:lineRule="auto"/>
      </w:pPr>
      <w:r>
        <w:t xml:space="preserve">- Благотворительный фонд социальной и духовной помощи «Возрождение» (г. Нягань).</w:t>
      </w:r>
      <w:r/>
    </w:p>
    <w:p>
      <w:pPr>
        <w:ind w:firstLine="709"/>
        <w:spacing w:line="276" w:lineRule="auto"/>
      </w:pPr>
      <w:r>
        <w:t xml:space="preserve">На территории автономного округа </w:t>
      </w:r>
      <w:r>
        <w:t xml:space="preserve">условно-осужденные</w:t>
      </w:r>
      <w:r>
        <w:t xml:space="preserve"> лица, страдающие наркологиче</w:t>
      </w:r>
      <w: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pStyle w:val="1661"/>
        <w:ind w:firstLine="709"/>
        <w:jc w:val="both"/>
        <w:spacing w:after="0" w:line="276" w:lineRule="auto"/>
        <w:rPr>
          <w:sz w:val="28"/>
          <w:szCs w:val="28"/>
        </w:rPr>
      </w:pPr>
      <w:r>
        <w:rPr>
          <w:sz w:val="28"/>
          <w:szCs w:val="28"/>
          <w:lang w:val="ru-RU"/>
        </w:rPr>
        <w:t xml:space="preserve">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w:t>
      </w:r>
      <w:r>
        <w:rPr>
          <w:sz w:val="28"/>
          <w:szCs w:val="28"/>
          <w:lang w:val="ru-RU"/>
        </w:rPr>
        <w:t xml:space="preserve">овек</w:t>
      </w:r>
      <w:r>
        <w:rPr>
          <w:sz w:val="28"/>
          <w:szCs w:val="28"/>
          <w:lang w:val="ru-RU"/>
        </w:rPr>
        <w:t xml:space="preserve">). Успешно закончивших такое лечение – 83 человека или 78,3 %, от числа прекративших обязательное или альтернативное лечение – 106 чел. В 2023 году – успешно завершили лечение 88 человек, или 72,7 % от числа окончивших лечение (абс. 121). </w:t>
      </w:r>
      <w:r>
        <w:rPr>
          <w:sz w:val="28"/>
          <w:szCs w:val="28"/>
          <w:lang w:val="ru-RU"/>
        </w:rPr>
        <w:t xml:space="preserve">Прервавших</w:t>
      </w:r>
      <w:r>
        <w:rPr>
          <w:sz w:val="28"/>
          <w:szCs w:val="28"/>
          <w:lang w:val="ru-RU"/>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r>
        <w:rPr>
          <w:sz w:val="28"/>
          <w:szCs w:val="28"/>
        </w:rPr>
      </w:r>
      <w:r>
        <w:rPr>
          <w:sz w:val="28"/>
          <w:szCs w:val="28"/>
        </w:rPr>
      </w:r>
    </w:p>
    <w:p>
      <w:pPr>
        <w:pStyle w:val="1661"/>
        <w:ind w:firstLine="709"/>
        <w:jc w:val="both"/>
        <w:spacing w:after="0" w:line="276" w:lineRule="auto"/>
        <w:rPr>
          <w:sz w:val="28"/>
          <w:szCs w:val="28"/>
        </w:rPr>
      </w:pPr>
      <w:r>
        <w:rPr>
          <w:sz w:val="28"/>
          <w:szCs w:val="28"/>
          <w:lang w:val="ru-RU"/>
        </w:rPr>
        <w:t xml:space="preserve">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r>
        <w:rPr>
          <w:sz w:val="28"/>
          <w:szCs w:val="28"/>
        </w:rPr>
      </w:r>
      <w:r>
        <w:rPr>
          <w:sz w:val="28"/>
          <w:szCs w:val="28"/>
        </w:rPr>
      </w:r>
    </w:p>
    <w:p>
      <w:pPr>
        <w:pStyle w:val="1661"/>
        <w:ind w:firstLine="709"/>
        <w:jc w:val="both"/>
        <w:spacing w:after="0" w:line="276" w:lineRule="auto"/>
        <w:rPr>
          <w:b/>
          <w:i/>
          <w:sz w:val="28"/>
          <w:szCs w:val="28"/>
          <w:highlight w:val="yellow"/>
        </w:rPr>
      </w:pPr>
      <w:r>
        <w:rPr>
          <w:b/>
          <w:i/>
          <w:sz w:val="28"/>
          <w:szCs w:val="28"/>
          <w:highlight w:val="yellow"/>
        </w:rPr>
      </w:r>
      <w:r>
        <w:rPr>
          <w:b/>
          <w:i/>
          <w:sz w:val="28"/>
          <w:szCs w:val="28"/>
          <w:highlight w:val="yellow"/>
        </w:rPr>
      </w:r>
      <w:r>
        <w:rPr>
          <w:b/>
          <w:i/>
          <w:sz w:val="28"/>
          <w:szCs w:val="28"/>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4. Анализ, оценка и динамика результатов деятельности в сфере профилактики потребления н</w:t>
      </w:r>
      <w:r>
        <w:rPr>
          <w:b/>
        </w:rPr>
        <w:t xml:space="preserve">аркотиков в немедицинских целях</w:t>
      </w:r>
      <w:r>
        <w:rPr>
          <w:b/>
        </w:rPr>
      </w:r>
      <w:r>
        <w:rPr>
          <w:b/>
        </w:rPr>
      </w:r>
    </w:p>
    <w:p>
      <w:pPr>
        <w:pStyle w:val="1661"/>
        <w:ind w:firstLine="709"/>
        <w:jc w:val="both"/>
        <w:spacing w:after="0" w:line="276" w:lineRule="auto"/>
        <w:rPr>
          <w:b/>
          <w:sz w:val="28"/>
          <w:szCs w:val="28"/>
          <w:lang w:val="ru-RU"/>
        </w:rPr>
      </w:pPr>
      <w:r>
        <w:rPr>
          <w:b/>
          <w:sz w:val="28"/>
          <w:szCs w:val="28"/>
          <w:lang w:val="ru-RU"/>
        </w:rPr>
      </w:r>
      <w:r>
        <w:rPr>
          <w:b/>
          <w:sz w:val="28"/>
          <w:szCs w:val="28"/>
          <w:lang w:val="ru-RU"/>
        </w:rPr>
      </w:r>
      <w:r>
        <w:rPr>
          <w:b/>
          <w:sz w:val="28"/>
          <w:szCs w:val="28"/>
          <w:lang w:val="ru-RU"/>
        </w:rPr>
      </w:r>
    </w:p>
    <w:p>
      <w:pPr>
        <w:contextualSpacing/>
        <w:ind w:firstLine="709"/>
        <w:spacing w:line="276" w:lineRule="auto"/>
        <w:rPr>
          <w:lang w:eastAsia="en-US"/>
        </w:rPr>
      </w:pPr>
      <w:r>
        <w:rPr>
          <w:rFonts w:eastAsia="Calibri"/>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rFonts w:eastAsia="Calibri"/>
          <w:i/>
        </w:rPr>
        <w:t xml:space="preserve">система медицинской профилактики</w:t>
      </w:r>
      <w:r>
        <w:rPr>
          <w:rFonts w:eastAsia="Calibri"/>
        </w:rPr>
        <w:t xml:space="preserve">, включающая</w:t>
      </w:r>
      <w:r>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w:t>
      </w:r>
      <w:r>
        <w:t xml:space="preserve"> 3 филиалами в городах </w:t>
      </w:r>
      <w:r>
        <w:t xml:space="preserve">Сургут, Нижневартовск и Нефтеюганск, 5 центров здоровья (в том числе 3 центра здоровья для детского населения). </w:t>
      </w:r>
      <w:r>
        <w:rPr>
          <w:lang w:eastAsia="en-US"/>
        </w:rPr>
      </w:r>
      <w:r>
        <w:rPr>
          <w:lang w:eastAsia="en-US"/>
        </w:rPr>
      </w:r>
    </w:p>
    <w:p>
      <w:pPr>
        <w:contextualSpacing/>
        <w:ind w:firstLine="709"/>
        <w:spacing w:line="276" w:lineRule="auto"/>
        <w:rPr>
          <w:rFonts w:eastAsia="Calibri"/>
        </w:rPr>
      </w:pPr>
      <w:r>
        <w:t xml:space="preserve">Кроме того, в медицинских организациях функционирует 19 отделений и 35 кабинетов медицинской профилактики, на базе 26 медицинских организаций созданы и функционируют кабинеты медицинской помощи при отказе от курения.</w:t>
      </w:r>
      <w:r>
        <w:rPr>
          <w:rFonts w:eastAsia="Calibri"/>
        </w:rPr>
      </w:r>
      <w:r>
        <w:rPr>
          <w:rFonts w:eastAsia="Calibri"/>
        </w:rPr>
      </w:r>
    </w:p>
    <w:p>
      <w:pPr>
        <w:contextualSpacing/>
        <w:ind w:firstLine="709"/>
        <w:spacing w:line="276" w:lineRule="auto"/>
      </w:pPr>
      <w:r>
        <w:t xml:space="preserve">Динамика обращений в действующие центры здоровья в рамках реализации мероприятий по формированию здорового образа жизни за 2023-2024 </w:t>
      </w:r>
      <w:r>
        <w:t xml:space="preserve">годы</w:t>
      </w:r>
      <w:r>
        <w:t xml:space="preserve"> предоставлена в табл. 4.</w:t>
      </w:r>
      <w:r/>
    </w:p>
    <w:p>
      <w:pPr>
        <w:contextualSpacing/>
        <w:ind w:firstLine="709"/>
        <w:jc w:val="right"/>
        <w:spacing w:line="276" w:lineRule="auto"/>
      </w:pPr>
      <w:r>
        <w:t xml:space="preserve">Таблица 4 </w:t>
      </w:r>
      <w:r/>
    </w:p>
    <w:p>
      <w:pPr>
        <w:contextualSpacing/>
        <w:ind w:firstLine="709"/>
        <w:jc w:val="center"/>
        <w:spacing w:line="276" w:lineRule="auto"/>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 xml:space="preserve">за 2023-2024 годы</w:t>
      </w:r>
      <w:r>
        <w:rPr>
          <w:b/>
        </w:rPr>
      </w:r>
      <w:r>
        <w:rPr>
          <w:b/>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1489"/>
        <w:gridCol w:w="1736"/>
      </w:tblGrid>
      <w:tr>
        <w:trPr>
          <w:trHeight w:val="227"/>
          <w:tblHeader/>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b/>
                <w:sz w:val="24"/>
                <w:szCs w:val="24"/>
              </w:rPr>
            </w:pPr>
            <w:r>
              <w:rPr>
                <w:rFonts w:eastAsia="Calibri"/>
                <w:b/>
                <w:sz w:val="24"/>
                <w:szCs w:val="24"/>
              </w:rPr>
              <w:t xml:space="preserve">Наименование показателя</w:t>
            </w:r>
            <w:r>
              <w:rPr>
                <w:rFonts w:eastAsia="Calibri"/>
                <w:b/>
                <w:sz w:val="24"/>
                <w:szCs w:val="24"/>
              </w:rPr>
            </w:r>
            <w:r>
              <w:rPr>
                <w:rFonts w:eastAsia="Calibri"/>
                <w:b/>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b/>
                <w:sz w:val="24"/>
                <w:szCs w:val="24"/>
              </w:rPr>
            </w:pPr>
            <w:r>
              <w:rPr>
                <w:rFonts w:eastAsia="Calibri"/>
                <w:b/>
                <w:sz w:val="24"/>
                <w:szCs w:val="24"/>
              </w:rPr>
              <w:t xml:space="preserve">2023 г</w:t>
            </w:r>
            <w:r>
              <w:rPr>
                <w:rFonts w:eastAsia="Calibri"/>
                <w:b/>
                <w:sz w:val="24"/>
                <w:szCs w:val="24"/>
              </w:rPr>
              <w:t xml:space="preserve">.</w:t>
            </w:r>
            <w:r>
              <w:rPr>
                <w:rFonts w:eastAsia="Calibri"/>
                <w:b/>
                <w:sz w:val="24"/>
                <w:szCs w:val="24"/>
              </w:rPr>
            </w:r>
            <w:r>
              <w:rPr>
                <w:rFonts w:eastAsia="Calibri"/>
                <w:b/>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b/>
                <w:sz w:val="24"/>
                <w:szCs w:val="24"/>
              </w:rPr>
            </w:pPr>
            <w:r>
              <w:rPr>
                <w:rFonts w:eastAsia="Calibri"/>
                <w:b/>
                <w:sz w:val="24"/>
                <w:szCs w:val="24"/>
              </w:rPr>
              <w:t xml:space="preserve">2024 г.</w:t>
            </w:r>
            <w:r>
              <w:rPr>
                <w:rFonts w:eastAsia="Calibri"/>
                <w:b/>
                <w:sz w:val="24"/>
                <w:szCs w:val="24"/>
              </w:rPr>
            </w:r>
            <w:r>
              <w:rPr>
                <w:rFonts w:eastAsia="Calibri"/>
                <w:b/>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Количество </w:t>
            </w:r>
            <w:r>
              <w:rPr>
                <w:rFonts w:eastAsia="Calibri"/>
                <w:sz w:val="24"/>
                <w:szCs w:val="24"/>
              </w:rPr>
              <w:t xml:space="preserve">обратившихся</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5 838</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5 711</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Признано здоровыми</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4 319</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4 637</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1 841</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2 041</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К группе риска отнесено</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13 287</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10 479</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3 997</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3 670</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Назначены индивидуальные планы оздоровления</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5 838</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5 711</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Направлено к специалистам в медицинские организации для дополнительного обследования и лечения</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1 951</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2 965</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1 116</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1 157</w:t>
            </w:r>
            <w:r>
              <w:rPr>
                <w:rFonts w:eastAsia="Calibri"/>
                <w:sz w:val="24"/>
                <w:szCs w:val="24"/>
              </w:rPr>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Обучено основам здорового образа жизни</w:t>
            </w:r>
            <w:r>
              <w:rPr>
                <w:rFonts w:eastAsia="Calibri"/>
                <w:sz w:val="24"/>
                <w:szCs w:val="24"/>
              </w:rPr>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r>
              <w:rPr>
                <w:rFonts w:eastAsia="Calibri"/>
                <w:sz w:val="24"/>
                <w:szCs w:val="24"/>
              </w:rPr>
            </w:r>
          </w:p>
        </w:tc>
      </w:tr>
    </w:tbl>
    <w:p>
      <w:pPr>
        <w:contextualSpacing/>
        <w:ind w:left="20" w:right="23" w:firstLine="700"/>
        <w:spacing w:line="276" w:lineRule="auto"/>
        <w:rPr>
          <w:lang w:eastAsia="en-US"/>
        </w:rPr>
      </w:pPr>
      <w:r>
        <w:rPr>
          <w:lang w:eastAsia="en-US"/>
        </w:rPr>
      </w:r>
      <w:r>
        <w:rPr>
          <w:lang w:eastAsia="en-US"/>
        </w:rPr>
      </w:r>
      <w:r>
        <w:rPr>
          <w:lang w:eastAsia="en-US"/>
        </w:rPr>
      </w:r>
    </w:p>
    <w:p>
      <w:pPr>
        <w:ind w:firstLine="708"/>
        <w:spacing w:line="276" w:lineRule="auto"/>
        <w:rPr>
          <w:lang w:eastAsia="en-US"/>
        </w:rPr>
      </w:pPr>
      <w:r>
        <w:rPr>
          <w:rFonts w:eastAsia="Calibri"/>
        </w:rPr>
        <w:t xml:space="preserve">В медицинских организациях автономного округа действует 26 кабинетов медицинской помощи при отказе от курения. В 2024 году в кабинеты медицинской помощи при отказе от курения зарегистрировано 10 544 обращений (2023 год – 10 227). </w:t>
      </w:r>
      <w:r>
        <w:rPr>
          <w:lang w:eastAsia="en-US"/>
        </w:rPr>
      </w:r>
      <w:r>
        <w:rPr>
          <w:lang w:eastAsia="en-US"/>
        </w:rPr>
      </w:r>
    </w:p>
    <w:p>
      <w:pPr>
        <w:ind w:firstLine="708"/>
        <w:spacing w:line="276" w:lineRule="auto"/>
        <w:rPr>
          <w:rFonts w:eastAsia="Calibri"/>
          <w:lang w:eastAsia="en-US"/>
        </w:rPr>
      </w:pPr>
      <w:r>
        <w:t xml:space="preserve">В рамках формирования единого медиапространства по пропаганде здорового образа жизни в автономном округе применяются следующие </w:t>
      </w:r>
      <w:r>
        <w:t xml:space="preserve">принципы: </w:t>
      </w:r>
      <w:r>
        <w:rPr>
          <w:rFonts w:eastAsia="Calibri"/>
          <w:lang w:eastAsia="en-US"/>
        </w:rPr>
        <w:t xml:space="preserve">информационно</w:t>
      </w:r>
      <w:r>
        <w:rPr>
          <w:rFonts w:eastAsia="Calibri"/>
          <w:lang w:eastAsia="en-US"/>
        </w:rPr>
        <w:t xml:space="preserve">е</w:t>
      </w:r>
      <w:r>
        <w:rPr>
          <w:rFonts w:eastAsia="Calibri"/>
          <w:lang w:eastAsia="en-US"/>
        </w:rPr>
        <w:t xml:space="preserve"> обеспечени</w:t>
      </w:r>
      <w:r>
        <w:rPr>
          <w:rFonts w:eastAsia="Calibri"/>
          <w:lang w:eastAsia="en-US"/>
        </w:rPr>
        <w:t xml:space="preserve">е</w:t>
      </w:r>
      <w:r>
        <w:rPr>
          <w:rFonts w:eastAsia="Calibri"/>
          <w:lang w:eastAsia="en-US"/>
        </w:rPr>
        <w:t xml:space="preserve"> деятельности медицинских организаций, информационн</w:t>
      </w:r>
      <w:r>
        <w:rPr>
          <w:rFonts w:eastAsia="Calibri"/>
          <w:lang w:eastAsia="en-US"/>
        </w:rPr>
        <w:t xml:space="preserve">ая</w:t>
      </w:r>
      <w:r>
        <w:rPr>
          <w:rFonts w:eastAsia="Calibri"/>
          <w:lang w:eastAsia="en-US"/>
        </w:rPr>
        <w:t xml:space="preserve"> открытост</w:t>
      </w:r>
      <w:r>
        <w:rPr>
          <w:rFonts w:eastAsia="Calibri"/>
          <w:lang w:eastAsia="en-US"/>
        </w:rPr>
        <w:t xml:space="preserve">ь</w:t>
      </w:r>
      <w:r>
        <w:rPr>
          <w:rFonts w:eastAsia="Calibri"/>
          <w:lang w:eastAsia="en-US"/>
        </w:rPr>
        <w:t xml:space="preserve"> и формирование через средства массовой информации объективного общественного мнения.</w:t>
      </w:r>
      <w:r>
        <w:rPr>
          <w:rFonts w:eastAsia="Calibri"/>
          <w:lang w:eastAsia="en-US"/>
        </w:rPr>
      </w:r>
      <w:r>
        <w:rPr>
          <w:rFonts w:eastAsia="Calibri"/>
          <w:lang w:eastAsia="en-US"/>
        </w:rPr>
      </w:r>
    </w:p>
    <w:p>
      <w:pPr>
        <w:ind w:firstLine="709"/>
        <w:spacing w:line="276" w:lineRule="auto"/>
      </w:pPr>
      <w:r>
        <w:t xml:space="preserve">Плотность информационного поля по освещению реализации мероприятий </w:t>
      </w:r>
      <w:r>
        <w:rPr>
          <w:lang w:eastAsia="ar-SA"/>
        </w:rPr>
        <w:t xml:space="preserve">по вопросам охраны здоровья граждан </w:t>
      </w:r>
      <w:r>
        <w:t xml:space="preserve">за 2024 год составила 92 информационных повода на 10 </w:t>
      </w:r>
      <w:r>
        <w:t xml:space="preserve">тыс. </w:t>
      </w:r>
      <w:r>
        <w:t xml:space="preserve">населения.</w:t>
      </w:r>
      <w:r/>
    </w:p>
    <w:p>
      <w:pPr>
        <w:ind w:firstLine="708"/>
        <w:spacing w:line="276" w:lineRule="auto"/>
      </w:pPr>
      <w:r>
        <w:t xml:space="preserve">Для того</w:t>
      </w:r>
      <w:r>
        <w:t xml:space="preserve">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w:t>
      </w:r>
      <w:r>
        <w:t xml:space="preserve">,</w:t>
      </w:r>
      <w:r>
        <w:t xml:space="preserve"> на официальном сайте Центра общес</w:t>
      </w:r>
      <w:r>
        <w:t xml:space="preserve">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r/>
    </w:p>
    <w:p>
      <w:pPr>
        <w:ind w:firstLine="708"/>
        <w:spacing w:line="276" w:lineRule="auto"/>
      </w:pPr>
      <w:r>
        <w:t xml:space="preserve">В</w:t>
      </w:r>
      <w:r>
        <w:t xml:space="preserve"> печатных СМИ, тел</w:t>
      </w:r>
      <w:r>
        <w:t xml:space="preserve">е-</w:t>
      </w:r>
      <w:r>
        <w:t xml:space="preserve"> и радиоэфире, а также в интернете по медицинск</w:t>
      </w:r>
      <w:r>
        <w:t xml:space="preserve">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w:t>
      </w:r>
      <w:r>
        <w:t xml:space="preserve">опубликовано</w:t>
      </w:r>
      <w:r>
        <w:t xml:space="preserve"> 11 323 информационных сообщения.</w:t>
      </w:r>
      <w:r/>
    </w:p>
    <w:p>
      <w:pPr>
        <w:ind w:firstLine="708"/>
        <w:spacing w:line="276" w:lineRule="auto"/>
      </w:pPr>
      <w:r>
        <w:t xml:space="preserve">Согласно мониторингу информационного сопровождения деятельности системы здравоохр</w:t>
      </w:r>
      <w:r>
        <w:t xml:space="preserve">анения автономного округа, в 2024 году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w:t>
      </w:r>
      <w:r>
        <w:t xml:space="preserve">,</w:t>
      </w:r>
      <w:r>
        <w:t xml:space="preserve"> </w:t>
      </w:r>
      <w:r>
        <w:t xml:space="preserve">опубликовано</w:t>
      </w:r>
      <w:r>
        <w:t xml:space="preserve"> 2 636 информационных сообщений (2023 г. – 2 707).</w:t>
      </w:r>
      <w:r/>
    </w:p>
    <w:p>
      <w:pPr>
        <w:ind w:firstLine="708"/>
        <w:spacing w:line="276" w:lineRule="auto"/>
        <w:rPr>
          <w:rFonts w:eastAsia="Calibri"/>
          <w:lang w:eastAsia="en-US"/>
        </w:rPr>
      </w:pPr>
      <w:r>
        <w:rPr>
          <w:rFonts w:eastAsia="Calibri"/>
          <w:lang w:eastAsia="en-US"/>
        </w:rPr>
        <w:t xml:space="preserve">На регулярной основе ведет</w:t>
      </w:r>
      <w:r>
        <w:rPr>
          <w:rFonts w:eastAsia="Calibri"/>
          <w:lang w:eastAsia="en-US"/>
        </w:rPr>
        <w:t xml:space="preserve">ся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r>
        <w:rPr>
          <w:rFonts w:eastAsia="Calibri"/>
          <w:lang w:eastAsia="en-US"/>
        </w:rPr>
      </w:r>
      <w:r>
        <w:rPr>
          <w:rFonts w:eastAsia="Calibri"/>
          <w:lang w:eastAsia="en-US"/>
        </w:rPr>
      </w:r>
    </w:p>
    <w:p>
      <w:pPr>
        <w:ind w:firstLine="708"/>
        <w:spacing w:line="276" w:lineRule="auto"/>
        <w:rPr>
          <w:rFonts w:eastAsia="Calibri"/>
          <w:lang w:eastAsia="en-US"/>
        </w:rPr>
      </w:pPr>
      <w:r>
        <w:rPr>
          <w:rFonts w:eastAsia="Calibri"/>
          <w:lang w:eastAsia="en-US"/>
        </w:rPr>
        <w:t xml:space="preserve">Среди основных площадок по распространению информации выступают сайты и сообщества в социальных сетях Депар</w:t>
      </w:r>
      <w:r>
        <w:rPr>
          <w:rFonts w:eastAsia="Calibri"/>
          <w:lang w:eastAsia="en-US"/>
        </w:rPr>
        <w:t xml:space="preserve">тамента здравоохранения Ханты-</w:t>
      </w:r>
      <w:r>
        <w:rPr>
          <w:rFonts w:eastAsia="Calibri"/>
          <w:lang w:eastAsia="en-US"/>
        </w:rPr>
        <w:t xml:space="preserve">Мансийского автономного округа – Югры и медицинских организаций. Всего региональную систему здравоохранения в социальных сетях и мессенджерах представляют 225 официальных аккаунтов, из них: ВКонтакте – 92, Одноклассники – 92, Телеграм – 41.</w:t>
      </w:r>
      <w:r>
        <w:rPr>
          <w:rFonts w:eastAsia="Calibri"/>
          <w:lang w:eastAsia="en-US"/>
        </w:rPr>
      </w:r>
      <w:r>
        <w:rPr>
          <w:rFonts w:eastAsia="Calibri"/>
          <w:lang w:eastAsia="en-US"/>
        </w:rPr>
      </w:r>
    </w:p>
    <w:p>
      <w:pPr>
        <w:ind w:firstLine="708"/>
        <w:spacing w:line="276" w:lineRule="auto"/>
        <w:rPr>
          <w:rFonts w:eastAsia="Calibri"/>
          <w:lang w:eastAsia="en-US"/>
        </w:rPr>
      </w:pPr>
      <w:r>
        <w:rPr>
          <w:rFonts w:eastAsia="Calibri"/>
          <w:lang w:eastAsia="en-US"/>
        </w:rPr>
        <w:t xml:space="preserve">Для госпабликов при участии главных внештатных специалистов Департамента здравоохранения Ханты-Мансийского автономного округа – </w:t>
      </w:r>
      <w:r>
        <w:rPr>
          <w:rFonts w:eastAsia="Calibri"/>
          <w:lang w:eastAsia="en-US"/>
        </w:rPr>
        <w:t xml:space="preserve">Югры разрабатывается </w:t>
      </w:r>
      <w:r>
        <w:rPr>
          <w:rFonts w:eastAsia="Calibri"/>
          <w:lang w:eastAsia="en-US"/>
        </w:rPr>
        <w:t xml:space="preserve">тематический</w:t>
      </w:r>
      <w:r>
        <w:rPr>
          <w:rFonts w:eastAsia="Calibri"/>
          <w:lang w:eastAsia="en-US"/>
        </w:rPr>
        <w:t xml:space="preserve"> контент в формате информационных карточек и видеороликов. </w:t>
      </w:r>
      <w:r>
        <w:rPr>
          <w:rFonts w:eastAsia="Calibri"/>
          <w:lang w:eastAsia="en-US"/>
        </w:rPr>
      </w:r>
      <w:r>
        <w:rPr>
          <w:rFonts w:eastAsia="Calibri"/>
          <w:lang w:eastAsia="en-US"/>
        </w:rPr>
      </w:r>
    </w:p>
    <w:p>
      <w:pPr>
        <w:ind w:firstLine="708"/>
        <w:spacing w:line="276" w:lineRule="auto"/>
        <w:rPr>
          <w:rFonts w:eastAsia="Calibri"/>
          <w:lang w:eastAsia="en-US"/>
        </w:rPr>
      </w:pPr>
      <w:r>
        <w:rPr>
          <w:rFonts w:eastAsia="Calibri"/>
          <w:lang w:eastAsia="en-US"/>
        </w:rPr>
        <w:t xml:space="preserve">Используется один из самых популярных в регионе информационных ресурсов – группа «Послушайте, доктор ХМАО-Югра» в</w:t>
      </w:r>
      <w:r>
        <w:rPr>
          <w:rFonts w:eastAsia="Calibri"/>
          <w:lang w:eastAsia="en-US"/>
        </w:rPr>
        <w:t xml:space="preserve"> социальной сети ВКонтакте. По состоянию на 25 декабря 2024 года в группе состояло 63 249 подписчиков. В рамках проекта еженедельно проводятся прямые эфиры с ведущими специалистами системы здравоохранения Югры, граждане задают вопросы согласно теме эфира. </w:t>
      </w:r>
      <w:r>
        <w:rPr>
          <w:rFonts w:eastAsia="Calibri"/>
          <w:lang w:eastAsia="en-US"/>
        </w:rPr>
      </w:r>
      <w:r>
        <w:rPr>
          <w:rFonts w:eastAsia="Calibri"/>
          <w:lang w:eastAsia="en-US"/>
        </w:rPr>
      </w:r>
    </w:p>
    <w:p>
      <w:pPr>
        <w:ind w:firstLine="708"/>
        <w:spacing w:line="276" w:lineRule="auto"/>
        <w:rPr>
          <w:rFonts w:eastAsia="Calibri"/>
          <w:lang w:eastAsia="en-US"/>
        </w:rPr>
      </w:pPr>
      <w:r>
        <w:rPr>
          <w:rFonts w:eastAsia="Calibri"/>
          <w:lang w:eastAsia="en-US"/>
        </w:rPr>
        <w:t xml:space="preserve">С целью формирования в обществе здоровой модели поведения, ответст</w:t>
      </w:r>
      <w:r>
        <w:rPr>
          <w:rFonts w:eastAsia="Calibri"/>
          <w:lang w:eastAsia="en-US"/>
        </w:rPr>
        <w:t xml:space="preserve">венного отношения к своему здоровью, профилактике заболеваний Центр общественного здоровья и медицинской профилактики является учредителем журнала «Регион здоровья», который выходит четыре раза в год тиражом 1 200 экземпляров (свидетельство о регистрации П</w:t>
      </w:r>
      <w:r>
        <w:rPr>
          <w:rFonts w:eastAsia="Calibri"/>
          <w:lang w:eastAsia="en-US"/>
        </w:rPr>
        <w:t xml:space="preserve">И № ТУ72-01619 от 02.03.2021</w:t>
      </w:r>
      <w:r>
        <w:rPr>
          <w:rFonts w:eastAsia="Calibri"/>
          <w:lang w:eastAsia="en-US"/>
        </w:rPr>
        <w:t xml:space="preserve">). В периодическом издании на регулярной основе размещаются актуальные тематические статьи. </w:t>
      </w:r>
      <w:r>
        <w:rPr>
          <w:rFonts w:eastAsia="Calibri"/>
          <w:lang w:eastAsia="en-US"/>
        </w:rPr>
      </w:r>
      <w:r>
        <w:rPr>
          <w:rFonts w:eastAsia="Calibri"/>
          <w:lang w:eastAsia="en-US"/>
        </w:rPr>
      </w:r>
    </w:p>
    <w:p>
      <w:pPr>
        <w:ind w:firstLine="709"/>
        <w:spacing w:line="276" w:lineRule="auto"/>
        <w:rPr>
          <w:rFonts w:eastAsia="Calibri"/>
        </w:rPr>
      </w:pPr>
      <w:r>
        <w:t xml:space="preserve">С </w:t>
      </w:r>
      <w:r>
        <w:rPr>
          <w:rFonts w:eastAsia="Calibri"/>
        </w:rPr>
        <w:t xml:space="preserve">2023 года в совместно с ОТРК «Югра» реализуется </w:t>
      </w:r>
      <w:r>
        <w:rPr>
          <w:rFonts w:eastAsia="Calibri"/>
        </w:rPr>
        <w:t xml:space="preserve">проект по выпуску серии видеоматериалов, направленных на профилактику различных заболеваний и поддержке здорового образа жизни. Всего в эфир вышло 73 сюжета и программ, соответствующих тематическим неделям Министерства здравоохранения Российской Федерации.</w:t>
      </w:r>
      <w:r>
        <w:rPr>
          <w:rFonts w:eastAsia="Calibri"/>
        </w:rPr>
      </w:r>
      <w:r>
        <w:rPr>
          <w:rFonts w:eastAsia="Calibri"/>
        </w:rPr>
      </w:r>
    </w:p>
    <w:p>
      <w:pPr>
        <w:ind w:firstLine="709"/>
        <w:spacing w:line="276" w:lineRule="auto"/>
        <w:widowControl w:val="off"/>
        <w:rPr>
          <w:rFonts w:eastAsia="Calibri"/>
          <w:lang w:eastAsia="en-US"/>
        </w:rPr>
      </w:pPr>
      <w:r>
        <w:rPr>
          <w:rFonts w:eastAsia="Calibri"/>
          <w:lang w:eastAsia="en-US"/>
        </w:rPr>
        <w:t xml:space="preserve">Цент</w:t>
      </w:r>
      <w:r>
        <w:rPr>
          <w:rFonts w:eastAsia="Calibri"/>
          <w:lang w:eastAsia="en-US"/>
        </w:rPr>
        <w:t xml:space="preserve">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w:t>
      </w:r>
      <w:r>
        <w:rPr>
          <w:rFonts w:eastAsia="Calibri"/>
          <w:lang w:eastAsia="en-US"/>
        </w:rPr>
        <w:t xml:space="preserve">.</w:t>
      </w:r>
      <w:r>
        <w:rPr>
          <w:rFonts w:eastAsia="Calibri"/>
          <w:lang w:eastAsia="en-US"/>
        </w:rPr>
        <w:t xml:space="preserve"> человек, возраст – 16+. </w:t>
      </w:r>
      <w:r>
        <w:rPr>
          <w:rFonts w:eastAsia="Calibri"/>
          <w:lang w:eastAsia="en-US"/>
        </w:rPr>
      </w:r>
      <w:r>
        <w:rPr>
          <w:rFonts w:eastAsia="Calibri"/>
          <w:lang w:eastAsia="en-US"/>
        </w:rPr>
      </w:r>
    </w:p>
    <w:p>
      <w:pPr>
        <w:ind w:firstLine="709"/>
        <w:spacing w:line="276" w:lineRule="auto"/>
        <w:widowControl w:val="off"/>
        <w:rPr>
          <w:rFonts w:eastAsia="Calibri"/>
          <w:lang w:eastAsia="en-US"/>
        </w:rPr>
      </w:pPr>
      <w:r>
        <w:rPr>
          <w:rFonts w:eastAsia="Calibri"/>
          <w:lang w:eastAsia="en-US"/>
        </w:rPr>
        <w:t xml:space="preserve">В 2024 году в эфир вышло 100 передач. Тематика передач отражала тематические недели по профилактике заболеваний и пропаганде здорового образа жизни</w:t>
      </w:r>
      <w:r>
        <w:rPr>
          <w:rFonts w:eastAsia="Calibri"/>
          <w:lang w:eastAsia="en-US"/>
        </w:rPr>
        <w:t xml:space="preserve">, реализуемые</w:t>
      </w:r>
      <w:r>
        <w:rPr>
          <w:rFonts w:eastAsia="Calibri"/>
          <w:lang w:eastAsia="en-US"/>
        </w:rPr>
        <w:t xml:space="preserve"> Министерств</w:t>
      </w:r>
      <w:r>
        <w:rPr>
          <w:rFonts w:eastAsia="Calibri"/>
          <w:lang w:eastAsia="en-US"/>
        </w:rPr>
        <w:t xml:space="preserve">ом</w:t>
      </w:r>
      <w:r>
        <w:rPr>
          <w:rFonts w:eastAsia="Calibri"/>
          <w:lang w:eastAsia="en-US"/>
        </w:rPr>
        <w:t xml:space="preserve"> здравоохранения Российской Федерации.</w:t>
      </w:r>
      <w:r>
        <w:rPr>
          <w:rFonts w:eastAsia="Calibri"/>
          <w:lang w:eastAsia="en-US"/>
        </w:rPr>
      </w:r>
      <w:r>
        <w:rPr>
          <w:rFonts w:eastAsia="Calibri"/>
          <w:lang w:eastAsia="en-US"/>
        </w:rPr>
      </w:r>
    </w:p>
    <w:p>
      <w:pPr>
        <w:ind w:firstLine="709"/>
        <w:spacing w:line="276" w:lineRule="auto"/>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rPr>
          <w:rFonts w:eastAsia="Calibri"/>
          <w:lang w:eastAsia="en-US"/>
        </w:rPr>
      </w:r>
      <w:r>
        <w:rPr>
          <w:rFonts w:eastAsia="Calibri"/>
          <w:lang w:eastAsia="en-US"/>
        </w:rPr>
      </w:r>
    </w:p>
    <w:p>
      <w:pPr>
        <w:ind w:firstLine="709"/>
        <w:spacing w:line="276" w:lineRule="auto"/>
        <w:rPr>
          <w:rFonts w:eastAsia="Calibri"/>
        </w:rPr>
      </w:pPr>
      <w:r>
        <w:rPr>
          <w:rFonts w:eastAsia="Calibri"/>
        </w:rPr>
        <w:t xml:space="preserve">В 2023 году в совместно с ОТРК «Югра» реал</w:t>
      </w:r>
      <w:r>
        <w:rPr>
          <w:rFonts w:eastAsia="Calibri"/>
        </w:rPr>
        <w:t xml:space="preserve">изован проект по выпуску серии видеоматериалов, направленных на профилактику заболеваний и поддержание здорового образа жизни. Всего в эфир вышло 30 сюжетов и программ, соответствующих тематическим неделям Министерства здравоохранения Российской Федерации.</w:t>
      </w:r>
      <w:r>
        <w:rPr>
          <w:rFonts w:eastAsia="Calibri"/>
        </w:rPr>
      </w:r>
      <w:r>
        <w:rPr>
          <w:rFonts w:eastAsia="Calibri"/>
        </w:rPr>
      </w:r>
    </w:p>
    <w:p>
      <w:pPr>
        <w:ind w:firstLine="709"/>
        <w:spacing w:line="276" w:lineRule="auto"/>
        <w:widowControl w:val="off"/>
        <w:rPr>
          <w:rFonts w:eastAsia="Calibri"/>
          <w:lang w:eastAsia="en-US"/>
        </w:rPr>
      </w:pPr>
      <w:r>
        <w:rPr>
          <w:rFonts w:eastAsia="Calibri"/>
          <w:lang w:eastAsia="en-US"/>
        </w:rPr>
        <w:t xml:space="preserve">С целью формирования в обществе правильной здоровой модели поведения, приверженности ответственного отношения к своему здоровью, </w:t>
      </w:r>
      <w:r>
        <w:rPr>
          <w:rFonts w:eastAsia="Calibri"/>
          <w:lang w:eastAsia="en-US"/>
        </w:rPr>
        <w:t xml:space="preserve">профилактике заболеваний через средства массовой ин</w:t>
      </w:r>
      <w:r>
        <w:rPr>
          <w:rFonts w:eastAsia="Calibri"/>
          <w:lang w:eastAsia="en-US"/>
        </w:rPr>
        <w:t xml:space="preserve">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w:t>
      </w:r>
      <w:r>
        <w:rPr>
          <w:rFonts w:eastAsia="Calibri"/>
          <w:lang w:eastAsia="en-US"/>
        </w:rPr>
        <w:t xml:space="preserve">- </w:t>
      </w:r>
      <w:r>
        <w:rPr>
          <w:rFonts w:eastAsia="Calibri"/>
          <w:lang w:eastAsia="en-US"/>
        </w:rPr>
        <w:t xml:space="preserve">около 1,5 млн</w:t>
      </w:r>
      <w:r>
        <w:rPr>
          <w:rFonts w:eastAsia="Calibri"/>
          <w:lang w:eastAsia="en-US"/>
        </w:rPr>
        <w:t xml:space="preserve">.</w:t>
      </w:r>
      <w:r>
        <w:rPr>
          <w:rFonts w:eastAsia="Calibri"/>
          <w:lang w:eastAsia="en-US"/>
        </w:rPr>
        <w:t xml:space="preserve"> человек, возраст – 16+. </w:t>
      </w:r>
      <w:r>
        <w:rPr>
          <w:rFonts w:eastAsia="Calibri"/>
          <w:lang w:eastAsia="en-US"/>
        </w:rPr>
      </w:r>
      <w:r>
        <w:rPr>
          <w:rFonts w:eastAsia="Calibri"/>
          <w:lang w:eastAsia="en-US"/>
        </w:rPr>
      </w:r>
    </w:p>
    <w:p>
      <w:pPr>
        <w:ind w:firstLine="708"/>
        <w:spacing w:line="276" w:lineRule="auto"/>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rPr>
          <w:rFonts w:eastAsia="Calibri"/>
          <w:lang w:eastAsia="en-US"/>
        </w:rPr>
      </w:r>
      <w:r>
        <w:rPr>
          <w:rFonts w:eastAsia="Calibri"/>
          <w:lang w:eastAsia="en-US"/>
        </w:rPr>
      </w:r>
    </w:p>
    <w:p>
      <w:pPr>
        <w:ind w:firstLine="708"/>
        <w:spacing w:line="276" w:lineRule="auto"/>
      </w:pPr>
      <w: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w:t>
      </w:r>
      <w:r>
        <w:t xml:space="preserve">Так</w:t>
      </w:r>
      <w:r>
        <w:t xml:space="preserve">,</w:t>
      </w:r>
      <w:r>
        <w:t xml:space="preserve"> в 2024 году напечатано 7 наименований полиграфической продукции, общим тиражом – 101 000 экз., (2023 год – 19 наименований, тираж – 140 500 экз.): листовка «Пора бросить курить!» (в том числе на хантыйском и мансийском языках). </w:t>
      </w:r>
      <w:r/>
    </w:p>
    <w:p>
      <w:pPr>
        <w:contextualSpacing/>
        <w:ind w:firstLine="708"/>
        <w:spacing w:line="276" w:lineRule="auto"/>
        <w:rPr>
          <w:rFonts w:eastAsia="Calibri"/>
          <w:lang w:eastAsia="en-US"/>
        </w:rPr>
      </w:pPr>
      <w:r>
        <w:rPr>
          <w:rFonts w:eastAsia="Calibri"/>
          <w:lang w:eastAsia="en-US"/>
        </w:rPr>
        <w:t xml:space="preserve">Ранее масштабные коммуникационные кампании, направленные на профилакт</w:t>
      </w:r>
      <w:r>
        <w:rPr>
          <w:rFonts w:eastAsia="Calibri"/>
          <w:lang w:eastAsia="en-US"/>
        </w:rPr>
        <w:t xml:space="preserve">ику заболеваний и пропаганду здорового образа жизни в автономном округе, были организованы в рамках профилактических месячников, тематика и сроки проведения устанавливались приказом Департамента здравоохранения Ханты-Мансийского автономного округа – Югры. </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мае 2024 года в Югре прошел «Месячник профилактики развития зависимостей (потребление никотина, алкоголя, наркотических средств и психоактивных веществ)», в рамках месячника специалистами медицинских организаций автономного округа проведено:</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383 лекции, число слушателей 9 729 чел</w:t>
      </w:r>
      <w:r>
        <w:rPr>
          <w:rFonts w:eastAsia="Calibri"/>
          <w:lang w:eastAsia="en-US"/>
        </w:rPr>
        <w:t xml:space="preserve">овек</w:t>
      </w:r>
      <w:r>
        <w:rPr>
          <w:rFonts w:eastAsia="Calibri"/>
          <w:lang w:eastAsia="en-US"/>
        </w:rPr>
        <w:t xml:space="preserve">;</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30 341 беседа, число участников 67 550 </w:t>
      </w:r>
      <w:r>
        <w:rPr>
          <w:rFonts w:eastAsia="Calibri"/>
          <w:lang w:eastAsia="en-US"/>
        </w:rPr>
        <w:t xml:space="preserve">человек;</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61 киновидеодемонстрация с обсуждением, число зрителей 2 355 </w:t>
      </w:r>
      <w:r>
        <w:rPr>
          <w:rFonts w:eastAsia="Calibri"/>
          <w:lang w:eastAsia="en-US"/>
        </w:rPr>
        <w:t xml:space="preserve">человек;</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71 массовое мероприятие, число участников 7 986 </w:t>
      </w:r>
      <w:r>
        <w:rPr>
          <w:rFonts w:eastAsia="Calibri"/>
          <w:lang w:eastAsia="en-US"/>
        </w:rPr>
        <w:t xml:space="preserve">человек;</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размещено 1 717 средств наглядной агитации;</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распространено 22 005 экз. печатной продукции.</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сентябре 2022 года письмом Министра здравоохранения Российской Федерации М.А.</w:t>
      </w:r>
      <w:r>
        <w:rPr>
          <w:rFonts w:eastAsia="Calibri"/>
          <w:lang w:eastAsia="en-US"/>
        </w:rPr>
        <w:t xml:space="preserve"> </w:t>
      </w:r>
      <w:r>
        <w:rPr>
          <w:rFonts w:eastAsia="Calibri"/>
          <w:lang w:eastAsia="en-US"/>
        </w:rPr>
        <w:t xml:space="preserve">Мурашко от 12.09.2022 № 21-5/И/2-15142 утвержден план проведения региональных тематических мероприятий по профилактике заболеваний и поддержке здорового образа жизни, начиная с этого периода масштабные коммуникационные </w:t>
      </w:r>
      <w:r>
        <w:rPr>
          <w:rFonts w:eastAsia="Calibri"/>
          <w:lang w:eastAsia="en-US"/>
        </w:rPr>
        <w:t xml:space="preserve">кампании</w:t>
      </w:r>
      <w:r>
        <w:rPr>
          <w:rFonts w:eastAsia="Calibri"/>
          <w:lang w:eastAsia="en-US"/>
        </w:rPr>
        <w:t xml:space="preserve"> организуются в соответствии с </w:t>
      </w:r>
      <w:r>
        <w:rPr>
          <w:rFonts w:eastAsia="Calibri"/>
          <w:lang w:eastAsia="en-US"/>
        </w:rPr>
        <w:t xml:space="preserve">профилактическими неделями Министерства здравоохранения Российской Федерации. </w:t>
      </w:r>
      <w:r>
        <w:rPr>
          <w:rFonts w:eastAsia="Calibri"/>
          <w:lang w:eastAsia="en-US"/>
        </w:rPr>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соответствии с приказом Департамента здравоохранения </w:t>
      </w:r>
      <w:r>
        <w:rPr>
          <w:rFonts w:eastAsia="Calibri"/>
          <w:lang w:eastAsia="en-US"/>
        </w:rPr>
        <w:br/>
        <w:t xml:space="preserve">Ханты-Мансийского автономного округа – Югры от 22.12.2023 № 2047 </w:t>
      </w:r>
      <w:r>
        <w:rPr>
          <w:rFonts w:eastAsia="Calibri"/>
          <w:lang w:eastAsia="en-US"/>
        </w:rPr>
        <w:br/>
        <w:t xml:space="preserve">«О проведении региональных тематических недель по профилактике заболеваний и пропаганде здорового образа жизни </w:t>
      </w:r>
      <w:r>
        <w:rPr>
          <w:rFonts w:eastAsia="Calibri"/>
          <w:lang w:eastAsia="en-US"/>
        </w:rPr>
        <w:t xml:space="preserve">в</w:t>
      </w:r>
      <w:r>
        <w:rPr>
          <w:rFonts w:eastAsia="Calibri"/>
          <w:lang w:eastAsia="en-US"/>
        </w:rPr>
        <w:t xml:space="preserve"> </w:t>
      </w:r>
      <w:r>
        <w:rPr>
          <w:rFonts w:eastAsia="Calibri"/>
          <w:lang w:eastAsia="en-US"/>
        </w:rPr>
        <w:t xml:space="preserve">Ханты-Мансийском</w:t>
      </w:r>
      <w:r>
        <w:rPr>
          <w:rFonts w:eastAsia="Calibri"/>
          <w:lang w:eastAsia="en-US"/>
        </w:rPr>
        <w:t xml:space="preserve"> автономном округе – Югре в 2024 году» в автономном округе с 26.02.2024 по 03.03.2024 прошла Неделя профилактики употребления наркотических средств</w:t>
      </w:r>
      <w:r>
        <w:rPr>
          <w:rFonts w:eastAsia="Calibri"/>
          <w:lang w:eastAsia="en-US"/>
        </w:rPr>
        <w:t xml:space="preserve">;</w:t>
      </w:r>
      <w:r>
        <w:rPr>
          <w:rFonts w:eastAsia="Calibri"/>
          <w:lang w:eastAsia="en-US"/>
        </w:rPr>
        <w:t xml:space="preserve"> с 11.03.2024 по 17.03.2024 - Неделя по борьбе с заражением и распространением хронического вирусного гепатита</w:t>
      </w:r>
      <w:r>
        <w:rPr>
          <w:rFonts w:eastAsia="Calibri"/>
          <w:lang w:eastAsia="en-US"/>
        </w:rPr>
        <w:t xml:space="preserve"> С</w:t>
      </w:r>
      <w:r>
        <w:rPr>
          <w:rFonts w:eastAsia="Calibri"/>
          <w:lang w:eastAsia="en-US"/>
        </w:rPr>
        <w:t xml:space="preserve">;</w:t>
      </w:r>
      <w:r>
        <w:rPr>
          <w:rFonts w:eastAsia="Calibri"/>
          <w:lang w:eastAsia="en-US"/>
        </w:rPr>
        <w:t xml:space="preserve"> с 24.06.2024 по 30.06.2024 - Неделя профилактики употребления наркотических средств</w:t>
      </w:r>
      <w:r>
        <w:rPr>
          <w:rFonts w:eastAsia="Calibri"/>
          <w:lang w:eastAsia="en-US"/>
        </w:rPr>
        <w:t xml:space="preserve">. </w:t>
      </w:r>
      <w:r>
        <w:rPr>
          <w:rFonts w:eastAsia="Calibri"/>
          <w:lang w:eastAsia="en-US"/>
        </w:rPr>
        <w:t xml:space="preserve">В</w:t>
      </w:r>
      <w:r>
        <w:rPr>
          <w:rFonts w:eastAsia="Calibri"/>
          <w:lang w:eastAsia="en-US"/>
        </w:rPr>
        <w:t xml:space="preserve"> рамках тематических недель организуются обучающие мероприятия для медицинских работников (научно-практические семинары и лекции для медицинских работников)</w:t>
      </w:r>
      <w:r>
        <w:rPr>
          <w:rFonts w:eastAsia="Calibri"/>
          <w:lang w:eastAsia="en-US"/>
        </w:rPr>
        <w:t xml:space="preserve">;</w:t>
      </w:r>
      <w:r>
        <w:rPr>
          <w:rFonts w:eastAsia="Calibri"/>
          <w:lang w:eastAsia="en-US"/>
        </w:rPr>
        <w:t xml:space="preserve"> профилактические мероприятия для населения (лекции, беседы, акции, и др.)</w:t>
      </w:r>
      <w:r>
        <w:rPr>
          <w:rFonts w:eastAsia="Calibri"/>
          <w:lang w:eastAsia="en-US"/>
        </w:rPr>
        <w:t xml:space="preserve">;</w:t>
      </w:r>
      <w:r>
        <w:rPr>
          <w:rFonts w:eastAsia="Calibri"/>
          <w:lang w:eastAsia="en-US"/>
        </w:rPr>
        <w:t xml:space="preserve"> разрабатывается тематическая инфографика</w:t>
      </w:r>
      <w:r>
        <w:rPr>
          <w:rFonts w:eastAsia="Calibri"/>
          <w:lang w:eastAsia="en-US"/>
        </w:rPr>
        <w:t xml:space="preserve">, размещаемая</w:t>
      </w:r>
      <w:r>
        <w:rPr>
          <w:rFonts w:eastAsia="Calibri"/>
          <w:lang w:eastAsia="en-US"/>
        </w:rPr>
        <w:t xml:space="preserve"> в медицинских, образовательных и социальных организациях</w:t>
      </w:r>
      <w:r>
        <w:rPr>
          <w:rFonts w:eastAsia="Calibri"/>
          <w:lang w:eastAsia="en-US"/>
        </w:rPr>
        <w:t xml:space="preserve">;</w:t>
      </w:r>
      <w:r>
        <w:rPr>
          <w:rFonts w:eastAsia="Calibri"/>
          <w:lang w:eastAsia="en-US"/>
        </w:rPr>
        <w:t xml:space="preserve"> проводятся профилактические мероприятия для корпоративного сектора</w:t>
      </w:r>
      <w:r>
        <w:rPr>
          <w:rFonts w:eastAsia="Calibri"/>
          <w:lang w:eastAsia="en-US"/>
        </w:rPr>
        <w:t xml:space="preserve">;</w:t>
      </w:r>
      <w:r>
        <w:rPr>
          <w:rFonts w:eastAsia="Calibri"/>
          <w:lang w:eastAsia="en-US"/>
        </w:rPr>
        <w:t xml:space="preserve"> публикуются интервью или выступления главных региональных специалистов по теме, позитивные новости и посты в социальных сетях.</w:t>
      </w:r>
      <w:r>
        <w:rPr>
          <w:rFonts w:eastAsia="Calibri"/>
          <w:lang w:eastAsia="en-US"/>
        </w:rPr>
      </w:r>
      <w:r>
        <w:rPr>
          <w:rFonts w:eastAsia="Calibri"/>
          <w:lang w:eastAsia="en-US"/>
        </w:rPr>
      </w:r>
    </w:p>
    <w:p>
      <w:pPr>
        <w:ind w:firstLine="708"/>
        <w:spacing w:line="276" w:lineRule="auto"/>
      </w:pPr>
      <w:r>
        <w:t xml:space="preserve">Кроме того, в рамках реализации пл</w:t>
      </w:r>
      <w: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t xml:space="preserve">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w:t>
      </w:r>
      <w:r>
        <w:t xml:space="preserve">:</w:t>
      </w:r>
      <w:r/>
    </w:p>
    <w:p>
      <w:pPr>
        <w:ind w:firstLine="708"/>
        <w:spacing w:line="276" w:lineRule="auto"/>
      </w:pPr>
      <w:r>
        <w:t xml:space="preserve">прочитана 2 691 лекция (2023 – 3 069), число слушателей 53 484 чел</w:t>
      </w:r>
      <w:r>
        <w:t xml:space="preserve">овек</w:t>
      </w:r>
      <w:r>
        <w:t xml:space="preserve"> (</w:t>
      </w:r>
      <w:r>
        <w:t xml:space="preserve">2023 г. - </w:t>
      </w:r>
      <w:r>
        <w:t xml:space="preserve">55 518)</w:t>
      </w:r>
      <w:r>
        <w:t xml:space="preserve">;</w:t>
      </w:r>
      <w:r>
        <w:t xml:space="preserve"> </w:t>
      </w:r>
      <w:r/>
    </w:p>
    <w:p>
      <w:pPr>
        <w:ind w:firstLine="708"/>
        <w:spacing w:line="276" w:lineRule="auto"/>
      </w:pPr>
      <w:r>
        <w:t xml:space="preserve">состоялось </w:t>
      </w:r>
      <w:r>
        <w:t xml:space="preserve">95 721 бесед (2023 </w:t>
      </w:r>
      <w:r>
        <w:t xml:space="preserve">г. </w:t>
      </w:r>
      <w:r>
        <w:t xml:space="preserve">– 116 785), число участников 210 344 чел</w:t>
      </w:r>
      <w:r>
        <w:t xml:space="preserve">овек</w:t>
      </w:r>
      <w:r>
        <w:t xml:space="preserve"> (2023 </w:t>
      </w:r>
      <w:r>
        <w:t xml:space="preserve">г. </w:t>
      </w:r>
      <w:r>
        <w:t xml:space="preserve">– 234 215)</w:t>
      </w:r>
      <w:r>
        <w:t xml:space="preserve">;</w:t>
      </w:r>
      <w:r>
        <w:t xml:space="preserve"> </w:t>
      </w:r>
      <w:r/>
    </w:p>
    <w:p>
      <w:pPr>
        <w:ind w:firstLine="708"/>
        <w:spacing w:line="276" w:lineRule="auto"/>
        <w:rPr>
          <w:spacing w:val="-6"/>
        </w:rPr>
      </w:pPr>
      <w:r>
        <w:rPr>
          <w:spacing w:val="-6"/>
        </w:rPr>
        <w:t xml:space="preserve">29 семинаров (2023</w:t>
      </w:r>
      <w:r>
        <w:rPr>
          <w:spacing w:val="-6"/>
        </w:rPr>
        <w:t xml:space="preserve"> г.</w:t>
      </w:r>
      <w:r>
        <w:rPr>
          <w:spacing w:val="-6"/>
        </w:rPr>
        <w:t xml:space="preserve"> - 39), число участников 675 чел</w:t>
      </w:r>
      <w:r>
        <w:rPr>
          <w:spacing w:val="-6"/>
        </w:rPr>
        <w:t xml:space="preserve">овек</w:t>
      </w:r>
      <w:r>
        <w:rPr>
          <w:spacing w:val="-6"/>
        </w:rPr>
        <w:t xml:space="preserve"> (2023</w:t>
      </w:r>
      <w:r>
        <w:rPr>
          <w:spacing w:val="-6"/>
        </w:rPr>
        <w:t xml:space="preserve"> г. – </w:t>
      </w:r>
      <w:r>
        <w:rPr>
          <w:spacing w:val="-6"/>
        </w:rPr>
        <w:t xml:space="preserve">700)</w:t>
      </w:r>
      <w:r>
        <w:rPr>
          <w:spacing w:val="-6"/>
        </w:rPr>
        <w:t xml:space="preserve">;</w:t>
      </w:r>
      <w:r>
        <w:rPr>
          <w:spacing w:val="-6"/>
        </w:rPr>
        <w:t xml:space="preserve"> </w:t>
      </w:r>
      <w:r>
        <w:rPr>
          <w:spacing w:val="-6"/>
        </w:rPr>
      </w:r>
      <w:r>
        <w:rPr>
          <w:spacing w:val="-6"/>
        </w:rPr>
      </w:r>
    </w:p>
    <w:p>
      <w:pPr>
        <w:ind w:firstLine="708"/>
        <w:spacing w:line="276" w:lineRule="auto"/>
      </w:pPr>
      <w:r>
        <w:t xml:space="preserve">33 тренинга (2023 </w:t>
      </w:r>
      <w:r>
        <w:t xml:space="preserve">г. </w:t>
      </w:r>
      <w:r>
        <w:t xml:space="preserve">– 41), число участников 1 155 чел</w:t>
      </w:r>
      <w:r>
        <w:t xml:space="preserve">овек</w:t>
      </w:r>
      <w:r>
        <w:t xml:space="preserve"> (2023 </w:t>
      </w:r>
      <w:r>
        <w:t xml:space="preserve">г. </w:t>
      </w:r>
      <w:r>
        <w:t xml:space="preserve">– 2 556)</w:t>
      </w:r>
      <w:r>
        <w:t xml:space="preserve">;</w:t>
      </w:r>
      <w:r>
        <w:t xml:space="preserve"> </w:t>
      </w:r>
      <w:r/>
    </w:p>
    <w:p>
      <w:pPr>
        <w:ind w:firstLine="708"/>
        <w:spacing w:line="276" w:lineRule="auto"/>
      </w:pPr>
      <w:r>
        <w:t xml:space="preserve">302 урока здоровья для дошкольников и школьников (2023 </w:t>
      </w:r>
      <w:r>
        <w:t xml:space="preserve">г. </w:t>
      </w:r>
      <w:r>
        <w:t xml:space="preserve">– 569), число участников 10 483 чел</w:t>
      </w:r>
      <w:r>
        <w:t xml:space="preserve">овек</w:t>
      </w:r>
      <w:r>
        <w:t xml:space="preserve"> (2023 – 14 147)</w:t>
      </w:r>
      <w:r>
        <w:t xml:space="preserve">;</w:t>
      </w:r>
      <w:r>
        <w:t xml:space="preserve"> </w:t>
      </w:r>
      <w:r/>
    </w:p>
    <w:p>
      <w:pPr>
        <w:ind w:firstLine="708"/>
        <w:spacing w:line="276" w:lineRule="auto"/>
      </w:pPr>
      <w:r>
        <w:t xml:space="preserve">1 086 кинодемонстраций (2023 </w:t>
      </w:r>
      <w:r>
        <w:t xml:space="preserve">г. </w:t>
      </w:r>
      <w:r>
        <w:t xml:space="preserve">– 1 163), число зрителей 29 689 чел</w:t>
      </w:r>
      <w:r>
        <w:t xml:space="preserve">овек</w:t>
      </w:r>
      <w:r>
        <w:t xml:space="preserve"> (2023</w:t>
      </w:r>
      <w:r>
        <w:t xml:space="preserve"> г.</w:t>
      </w:r>
      <w:r>
        <w:t xml:space="preserve"> - 47 098)</w:t>
      </w:r>
      <w:r>
        <w:t xml:space="preserve">;</w:t>
      </w:r>
      <w:r>
        <w:t xml:space="preserve"> </w:t>
      </w:r>
      <w:r/>
    </w:p>
    <w:p>
      <w:pPr>
        <w:ind w:firstLine="708"/>
        <w:spacing w:line="276" w:lineRule="auto"/>
      </w:pPr>
      <w:r>
        <w:t xml:space="preserve">506 массовых мероприятий (акции, круглые столы, флеш</w:t>
      </w:r>
      <w:r>
        <w:t xml:space="preserve">мобы, конкурсы, викторины и др., </w:t>
      </w:r>
      <w:r>
        <w:t xml:space="preserve">2023 </w:t>
      </w:r>
      <w:r>
        <w:t xml:space="preserve">г. </w:t>
      </w:r>
      <w:r>
        <w:t xml:space="preserve">– 558)</w:t>
      </w:r>
      <w:r>
        <w:t xml:space="preserve">,</w:t>
      </w:r>
      <w:r>
        <w:t xml:space="preserve"> общее число участников 99 736 чел</w:t>
      </w:r>
      <w:r>
        <w:t xml:space="preserve">овек</w:t>
      </w:r>
      <w:r>
        <w:t xml:space="preserve"> (2023 </w:t>
      </w:r>
      <w:r>
        <w:t xml:space="preserve">г. </w:t>
      </w:r>
      <w:r>
        <w:t xml:space="preserve">– 187 680)</w:t>
      </w:r>
      <w:r>
        <w:t xml:space="preserve">;</w:t>
      </w:r>
      <w:r/>
    </w:p>
    <w:p>
      <w:pPr>
        <w:ind w:firstLine="708"/>
        <w:spacing w:line="276" w:lineRule="auto"/>
      </w:pPr>
      <w:r>
        <w:t xml:space="preserve">размещено 2 503 средств наглядной агитации (2023 </w:t>
      </w:r>
      <w:r>
        <w:t xml:space="preserve">г. </w:t>
      </w:r>
      <w:r>
        <w:t xml:space="preserve">– 5 530)</w:t>
      </w:r>
      <w:r>
        <w:t xml:space="preserve">;</w:t>
      </w:r>
      <w:r/>
    </w:p>
    <w:p>
      <w:pPr>
        <w:ind w:firstLine="708"/>
        <w:spacing w:line="276" w:lineRule="auto"/>
      </w:pPr>
      <w:r>
        <w:t xml:space="preserve">распространено 105 907 экз. тематической печатной продукции </w:t>
      </w:r>
      <w:r>
        <w:br/>
      </w:r>
      <w:r>
        <w:t xml:space="preserve">(2023 </w:t>
      </w:r>
      <w:r>
        <w:t xml:space="preserve">г. </w:t>
      </w:r>
      <w:r>
        <w:t xml:space="preserve">– 104 686).</w:t>
      </w:r>
      <w:r/>
    </w:p>
    <w:p>
      <w:pPr>
        <w:ind w:firstLine="708"/>
        <w:spacing w:line="276" w:lineRule="auto"/>
      </w:pPr>
      <w:r>
        <w:t xml:space="preserve">Приоритетным напра</w:t>
      </w:r>
      <w: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ind w:firstLine="708"/>
        <w:spacing w:line="276" w:lineRule="auto"/>
      </w:pPr>
      <w:r>
        <w:t xml:space="preserve">В сфере здравоохранения автономного округа в настоящее время трудятся 2 802 добровольца, которые активно принимают участие в акциях и мероприятиях медицинского добровольчества. </w:t>
      </w:r>
      <w:r/>
    </w:p>
    <w:p>
      <w:pPr>
        <w:ind w:firstLine="708"/>
        <w:spacing w:line="276" w:lineRule="auto"/>
      </w:pPr>
      <w:r>
        <w:t xml:space="preserve">В 2024 году при участии 2 529 волонтеров проведено 829 мероприятий, направленных на популяризацию здорового образа жизни и медицинского добровольчества, профилактику заболеваний, в которых приняли участие </w:t>
      </w:r>
      <w:r>
        <w:t xml:space="preserve">33 015 югорчан (2023 </w:t>
      </w:r>
      <w:r>
        <w:t xml:space="preserve">г. </w:t>
      </w:r>
      <w:r>
        <w:t xml:space="preserve">– 1 053 мероприятия, число участников 43 170).</w:t>
      </w:r>
      <w:r/>
    </w:p>
    <w:p>
      <w:pPr>
        <w:ind w:firstLine="709"/>
        <w:spacing w:line="276" w:lineRule="auto"/>
        <w:rPr>
          <w:bCs/>
        </w:rPr>
      </w:pPr>
      <w:r>
        <w:rPr>
          <w:lang w:eastAsia="en-US"/>
        </w:rPr>
        <w:t xml:space="preserve">По сведениям </w:t>
      </w:r>
      <w:r>
        <w:rPr>
          <w:i w:val="0"/>
          <w:iCs w:val="0"/>
          <w:lang w:eastAsia="en-US"/>
        </w:rPr>
        <w:t xml:space="preserve">Департамента образования и </w:t>
      </w:r>
      <w:r>
        <w:rPr>
          <w:i w:val="0"/>
          <w:iCs w:val="0"/>
          <w:lang w:eastAsia="en-US"/>
        </w:rPr>
        <w:t xml:space="preserve">науки</w:t>
      </w:r>
      <w:r>
        <w:rPr>
          <w:i w:val="0"/>
          <w:iCs w:val="0"/>
          <w:lang w:eastAsia="en-US"/>
        </w:rPr>
        <w:t xml:space="preserve"> Ханты-Мансийского автономного округа – Югры</w:t>
      </w:r>
      <w:r>
        <w:rPr>
          <w:i/>
          <w:lang w:eastAsia="en-US"/>
        </w:rPr>
        <w:t xml:space="preserve"> </w:t>
      </w:r>
      <w:r>
        <w:rPr>
          <w:lang w:eastAsia="en-US"/>
        </w:rPr>
        <w:t xml:space="preserve">в 2023/2024 </w:t>
      </w:r>
      <w:r>
        <w:rPr>
          <w:lang w:eastAsia="en-US"/>
        </w:rPr>
        <w:t xml:space="preserve">учебном </w:t>
      </w:r>
      <w:r>
        <w:rPr>
          <w:lang w:eastAsia="en-US"/>
        </w:rPr>
        <w:t xml:space="preserve">году</w:t>
      </w:r>
      <w:r>
        <w:rPr>
          <w:color w:val="000000"/>
          <w:shd w:val="clear" w:color="auto" w:fill="ffffff"/>
          <w:lang w:eastAsia="ar-SA"/>
        </w:rPr>
        <w:t xml:space="preserve"> </w:t>
      </w:r>
      <w:r>
        <w:t xml:space="preserve">количество общих проведенных муниципальных мероприятий, направленных на профилактику употребления НС и ПАВ обучающимися</w:t>
      </w:r>
      <w:r>
        <w:t xml:space="preserve"> </w:t>
      </w:r>
      <w:r>
        <w:t xml:space="preserve">в образовательных организациях </w:t>
      </w:r>
      <w:r>
        <w:t xml:space="preserve">автономного округа</w:t>
      </w:r>
      <w:r>
        <w:t xml:space="preserve">, составило 5376 ед. (</w:t>
      </w:r>
      <w:r>
        <w:rPr>
          <w:bCs/>
        </w:rPr>
        <w:t xml:space="preserve">что на 295 муниципальных мероприятий меньше показат</w:t>
      </w:r>
      <w:r>
        <w:rPr>
          <w:bCs/>
        </w:rPr>
        <w:t xml:space="preserve">еля прошлого отчетного периода, </w:t>
      </w:r>
      <w:r>
        <w:t xml:space="preserve">5081 ед.)</w:t>
      </w:r>
      <w:r>
        <w:t xml:space="preserve">.</w:t>
      </w:r>
      <w:r>
        <w:t xml:space="preserve"> </w:t>
      </w:r>
      <w:r>
        <w:t xml:space="preserve">М</w:t>
      </w:r>
      <w:r>
        <w:t xml:space="preserve">ероприяти</w:t>
      </w:r>
      <w:r>
        <w:t xml:space="preserve">я</w:t>
      </w:r>
      <w:r>
        <w:t xml:space="preserve"> межведомственного характера </w:t>
      </w:r>
      <w:r>
        <w:t xml:space="preserve">составили</w:t>
      </w:r>
      <w:r>
        <w:t xml:space="preserve"> 1075 ед. (на 315 ед. меньше, чем в 2022/2023 учебном году - 1390 ед.)</w:t>
      </w:r>
      <w:r>
        <w:t xml:space="preserve">.</w:t>
      </w:r>
      <w:r>
        <w:t xml:space="preserve"> </w:t>
      </w:r>
      <w:r>
        <w:rPr>
          <w:bCs/>
        </w:rPr>
        <w:t xml:space="preserve"> Гл</w:t>
      </w:r>
      <w:r>
        <w:rPr>
          <w:bCs/>
        </w:rPr>
        <w:t xml:space="preserve">авными участниками мероприятий по профилактике употребления НС и ПАВ являлись: </w:t>
      </w:r>
      <w:r>
        <w:rPr>
          <w:bCs/>
        </w:rPr>
      </w:r>
      <w:r>
        <w:rPr>
          <w:bCs/>
        </w:rPr>
      </w:r>
    </w:p>
    <w:p>
      <w:pPr>
        <w:contextualSpacing/>
        <w:ind w:firstLine="709"/>
        <w:spacing w:line="276" w:lineRule="auto"/>
        <w:rPr>
          <w:bCs/>
        </w:rPr>
      </w:pPr>
      <w:r>
        <w:rPr>
          <w:bCs/>
        </w:rPr>
        <w:t xml:space="preserve">обучающиеся – 139431 человек, по сравнению с прошлым годом (177438 человек) </w:t>
      </w:r>
      <w:r>
        <w:rPr>
          <w:bCs/>
        </w:rPr>
        <w:t xml:space="preserve">их </w:t>
      </w:r>
      <w:r>
        <w:rPr>
          <w:bCs/>
        </w:rPr>
        <w:t xml:space="preserve">количество уменьшилось на 38007 человек; </w:t>
      </w:r>
      <w:r>
        <w:rPr>
          <w:bCs/>
        </w:rPr>
      </w:r>
      <w:r>
        <w:rPr>
          <w:bCs/>
        </w:rPr>
      </w:r>
    </w:p>
    <w:p>
      <w:pPr>
        <w:contextualSpacing/>
        <w:ind w:firstLine="709"/>
        <w:spacing w:line="276" w:lineRule="auto"/>
        <w:rPr>
          <w:bCs/>
        </w:rPr>
      </w:pPr>
      <w:r>
        <w:rPr>
          <w:bCs/>
        </w:rPr>
        <w:t xml:space="preserve">родители (законные представители) обучающихся образовательных организаций – 101818 человек, по сравнению с прошлым годом (126717 человек) </w:t>
      </w:r>
      <w:r>
        <w:rPr>
          <w:bCs/>
        </w:rPr>
        <w:t xml:space="preserve">их </w:t>
      </w:r>
      <w:r>
        <w:rPr>
          <w:bCs/>
        </w:rPr>
        <w:t xml:space="preserve">количество </w:t>
      </w:r>
      <w:r>
        <w:rPr>
          <w:bCs/>
        </w:rPr>
        <w:t xml:space="preserve">сократилось </w:t>
      </w:r>
      <w:r>
        <w:rPr>
          <w:bCs/>
        </w:rPr>
        <w:t xml:space="preserve">на 24899 человек; </w:t>
      </w:r>
      <w:r>
        <w:rPr>
          <w:bCs/>
        </w:rPr>
      </w:r>
      <w:r>
        <w:rPr>
          <w:bCs/>
        </w:rPr>
      </w:r>
    </w:p>
    <w:p>
      <w:pPr>
        <w:contextualSpacing/>
        <w:ind w:firstLine="709"/>
        <w:spacing w:line="276" w:lineRule="auto"/>
      </w:pPr>
      <w:r>
        <w:rPr>
          <w:bCs/>
        </w:rPr>
        <w:t xml:space="preserve">специалисты образовательных организаций – 5295 человек, по сравнению с прошлым годом (4656 человек) количество специалистов увеличилось на 639 человек. </w:t>
      </w:r>
      <w:r/>
    </w:p>
    <w:p>
      <w:pPr>
        <w:contextualSpacing/>
        <w:ind w:firstLine="709"/>
        <w:spacing w:line="276" w:lineRule="auto"/>
      </w:pPr>
      <w:r>
        <w:t xml:space="preserve">В образовательных организациях автономного округа в </w:t>
      </w:r>
      <w:r>
        <w:t xml:space="preserve">2023/2024 учебном</w:t>
      </w:r>
      <w:r>
        <w:t xml:space="preserve"> году реализованы комплексы психолого-педагогических мероприятий. В их числе: </w:t>
      </w:r>
      <w:r/>
    </w:p>
    <w:p>
      <w:pPr>
        <w:contextualSpacing/>
        <w:ind w:firstLine="709"/>
        <w:spacing w:line="276" w:lineRule="auto"/>
        <w:tabs>
          <w:tab w:val="left" w:pos="1418" w:leader="none"/>
          <w:tab w:val="left" w:pos="1701" w:leader="none"/>
        </w:tabs>
      </w:pPr>
      <w:r>
        <w:t xml:space="preserve">в 300 образовательных организациях организована работа </w:t>
      </w:r>
      <w:r>
        <w:br/>
        <w:t xml:space="preserve">по программам профилактики употребления НС и ПАВ среди обучающихся, </w:t>
      </w:r>
      <w:r>
        <w:t xml:space="preserve">ч</w:t>
      </w:r>
      <w:r>
        <w:t xml:space="preserve">то на 8 программ больше, чем в 2022/2023 учебном году </w:t>
      </w:r>
      <w:r>
        <w:t xml:space="preserve">(</w:t>
      </w:r>
      <w:r>
        <w:t xml:space="preserve">292 ед.</w:t>
      </w:r>
      <w:r>
        <w:t xml:space="preserve">)</w:t>
      </w:r>
      <w:r>
        <w:t xml:space="preserve">; </w:t>
      </w:r>
      <w:r/>
    </w:p>
    <w:p>
      <w:pPr>
        <w:contextualSpacing/>
        <w:ind w:firstLine="709"/>
        <w:spacing w:line="276" w:lineRule="auto"/>
        <w:tabs>
          <w:tab w:val="left" w:pos="1418" w:leader="none"/>
        </w:tabs>
      </w:pPr>
      <w:r>
        <w:t xml:space="preserve">в 316 образовательных организациях организована работа </w:t>
      </w:r>
      <w:r>
        <w:br/>
        <w:t xml:space="preserve">по годовым планам, направленным на профилактику употребления НС и ПАВ среди обучающихся (на 9 годовых планов больше, чем в 2022/</w:t>
      </w:r>
      <w:r>
        <w:t xml:space="preserve">2023 учебном году, </w:t>
      </w:r>
      <w:r>
        <w:t xml:space="preserve">307</w:t>
      </w:r>
      <w:r>
        <w:t xml:space="preserve"> ед.</w:t>
      </w:r>
      <w:r>
        <w:t xml:space="preserve">). </w:t>
      </w:r>
      <w:r/>
    </w:p>
    <w:p>
      <w:pPr>
        <w:contextualSpacing/>
        <w:ind w:firstLine="709"/>
        <w:spacing w:line="276" w:lineRule="auto"/>
      </w:pPr>
      <w:r>
        <w:t xml:space="preserve">В образовательных организациях </w:t>
      </w:r>
      <w:r>
        <w:t xml:space="preserve">Югры оформлены </w:t>
      </w:r>
      <w:r>
        <w:t xml:space="preserve">320 инф</w:t>
      </w:r>
      <w:r>
        <w:t xml:space="preserve">ормационных стендов, содержащих списки телефонных номеров территориальных комиссий по делам несовершеннолетних и защите их прав, отдела органов внутренних дел, телефонов доверия и других учреждений, оказывающих помощь по вопросам профилактики употребления </w:t>
      </w:r>
      <w:bookmarkStart w:id="2" w:name="_Hlk168047034"/>
      <w:r>
        <w:t xml:space="preserve">НС и ПАВ</w:t>
      </w:r>
      <w:bookmarkEnd w:id="2"/>
      <w:r>
        <w:t xml:space="preserve">. </w:t>
      </w:r>
      <w:r>
        <w:t xml:space="preserve">Данная информация размещена </w:t>
      </w:r>
      <w:r>
        <w:t xml:space="preserve">также </w:t>
      </w:r>
      <w:r>
        <w:t xml:space="preserve">на сайтах всех образовательных организаций </w:t>
      </w:r>
      <w:r>
        <w:t xml:space="preserve">автономного </w:t>
      </w:r>
      <w:r>
        <w:t xml:space="preserve">округа. </w:t>
      </w:r>
      <w:r/>
    </w:p>
    <w:p>
      <w:pPr>
        <w:contextualSpacing/>
        <w:ind w:firstLine="709"/>
        <w:spacing w:line="276" w:lineRule="auto"/>
      </w:pPr>
      <w:r>
        <w:t xml:space="preserve">В целом, за анализируемый период м</w:t>
      </w:r>
      <w:r>
        <w:rPr>
          <w:bCs/>
        </w:rPr>
        <w:t xml:space="preserve">аксимальное количество </w:t>
      </w:r>
      <w:r>
        <w:rPr>
          <w:bCs/>
        </w:rPr>
        <w:t xml:space="preserve">участников</w:t>
      </w:r>
      <w:r>
        <w:rPr>
          <w:bCs/>
        </w:rPr>
        <w:t xml:space="preserve"> из числа обучающихся </w:t>
      </w:r>
      <w:r>
        <w:rPr>
          <w:bCs/>
        </w:rPr>
        <w:t xml:space="preserve">было </w:t>
      </w:r>
      <w:r>
        <w:rPr>
          <w:bCs/>
        </w:rPr>
        <w:t xml:space="preserve">задействовано: </w:t>
      </w:r>
      <w:r/>
    </w:p>
    <w:p>
      <w:pPr>
        <w:contextualSpacing/>
        <w:ind w:firstLine="709"/>
        <w:spacing w:line="276" w:lineRule="auto"/>
      </w:pPr>
      <w:r>
        <w:t xml:space="preserve">в мероприятиях внеурочной активности – 168979 обучающихся (92,4% от общего количества обучающихся, с которыми проведена общая профилактическая работа, направленная на предупреждение упот</w:t>
      </w:r>
      <w:r>
        <w:t xml:space="preserve">ребления НС и ПАВ (182780 чел.), что</w:t>
      </w:r>
      <w:r>
        <w:t xml:space="preserve"> на 5,1% меньше, чем в 2022/2023 учебном году – 97,5%); </w:t>
      </w:r>
      <w:r/>
    </w:p>
    <w:p>
      <w:pPr>
        <w:contextualSpacing/>
        <w:ind w:firstLine="709"/>
        <w:spacing w:line="276" w:lineRule="auto"/>
      </w:pPr>
      <w:r>
        <w:t xml:space="preserve">в межведомственных профилактических мероприятиях муниципального уровня – 153549 обучающихся (84,0% от общего количества обучающихся, с которыми проведена</w:t>
      </w:r>
      <w:r>
        <w:t xml:space="preserve"> общая профилактическая работа </w:t>
      </w:r>
      <w:r>
        <w:t xml:space="preserve">(1</w:t>
      </w:r>
      <w:r>
        <w:t xml:space="preserve">82780 чел.), ч</w:t>
      </w:r>
      <w:r>
        <w:t xml:space="preserve">то на 5,3% больше, чем в 2022/2023 учебном году – 78,7%); </w:t>
      </w:r>
      <w:r/>
    </w:p>
    <w:p>
      <w:pPr>
        <w:contextualSpacing/>
        <w:ind w:firstLine="709"/>
        <w:spacing w:line="276" w:lineRule="auto"/>
      </w:pPr>
      <w:r>
        <w:t xml:space="preserve">в месячнике антинаркотической направленности и популяризации здорового образа жизни – 148668 обучающихся (81,3% от общего количества обучающихся, с которыми проведена общая профила</w:t>
      </w:r>
      <w:r>
        <w:t xml:space="preserve">ктическая работа </w:t>
      </w:r>
      <w:r>
        <w:t xml:space="preserve">(182780 чел.), </w:t>
      </w:r>
      <w:r>
        <w:t xml:space="preserve">ч</w:t>
      </w:r>
      <w:r>
        <w:t xml:space="preserve">то на 3,8% меньше, чем в 2022/2023 учебном году – 85,1%). </w:t>
      </w:r>
      <w:r/>
    </w:p>
    <w:p>
      <w:pPr>
        <w:contextualSpacing/>
        <w:ind w:firstLine="709"/>
        <w:spacing w:line="276" w:lineRule="auto"/>
      </w:pPr>
      <w:r>
        <w:t xml:space="preserve">Общее количество родителей (законных представителей), </w:t>
      </w:r>
      <w:r>
        <w:br/>
        <w:t xml:space="preserve">с которыми проведена общая профилактическая работа, составило 239447 человек (на 7266 человек меньше показателя 2022/2023 учебного года). </w:t>
      </w:r>
      <w:r/>
    </w:p>
    <w:p>
      <w:pPr>
        <w:ind w:firstLine="709"/>
        <w:spacing w:line="276" w:lineRule="auto"/>
      </w:pPr>
      <w:r>
        <w:t xml:space="preserve">Наибольшее количество родителей (законных представителей) </w:t>
      </w:r>
      <w:r>
        <w:t xml:space="preserve">было </w:t>
      </w:r>
      <w:r>
        <w:t xml:space="preserve">охвачено псих</w:t>
      </w:r>
      <w:r>
        <w:t xml:space="preserve">опросветительской работой – 89,1% (на 10,9% меньше по сравнению с прошлым годом – 100%), направлением «Родительский всеобуч» – 47,4% (на 5,2% больше по сравнению с прошлым годом – 42,2%), групповыми консультациями/ с приглашением специалистов на встречи с </w:t>
      </w:r>
      <w:r>
        <w:t xml:space="preserve">родителями –</w:t>
      </w:r>
      <w:r>
        <w:t xml:space="preserve"> </w:t>
      </w:r>
      <w:r>
        <w:t xml:space="preserve">41,9% (на 3,6% меньше по сравнению с прошлым годом – 45,5%). </w:t>
      </w:r>
      <w:r/>
    </w:p>
    <w:p>
      <w:pPr>
        <w:ind w:firstLine="709"/>
        <w:spacing w:line="276" w:lineRule="auto"/>
      </w:pPr>
      <w:r>
        <w:t xml:space="preserve">К</w:t>
      </w:r>
      <w:r>
        <w:t xml:space="preserve">оличество обучающихся, с которыми проведена общая профилактическая работа, направленная на предупреждение у</w:t>
      </w:r>
      <w:r>
        <w:rPr>
          <w:bCs/>
        </w:rPr>
        <w:t xml:space="preserve">потребления НС и ПАВ в </w:t>
      </w:r>
      <w:r>
        <w:t xml:space="preserve">2023/2024 учебном году, составило 182780 чел</w:t>
      </w:r>
      <w:r>
        <w:t xml:space="preserve">овек</w:t>
      </w:r>
      <w:r>
        <w:t xml:space="preserve">. </w:t>
      </w:r>
      <w:r/>
    </w:p>
    <w:p>
      <w:pPr>
        <w:ind w:firstLine="709"/>
        <w:spacing w:line="276" w:lineRule="auto"/>
        <w:rPr>
          <w:bCs/>
        </w:rPr>
      </w:pPr>
      <w:r>
        <w:t xml:space="preserve">Б</w:t>
      </w:r>
      <w:r>
        <w:rPr>
          <w:bCs/>
        </w:rPr>
        <w:t xml:space="preserve">о́льшая</w:t>
      </w:r>
      <w:r>
        <w:rPr>
          <w:bCs/>
        </w:rPr>
        <w:t xml:space="preserve"> активность участников из числа обучающихся наблюдается </w:t>
      </w:r>
      <w:r>
        <w:rPr>
          <w:bCs/>
        </w:rPr>
        <w:br/>
        <w:t xml:space="preserve">в лекциях по вопросам профилактики ВИЧ-инфекции (76959 чел</w:t>
      </w:r>
      <w:r>
        <w:rPr>
          <w:bCs/>
        </w:rPr>
        <w:t xml:space="preserve">овек</w:t>
      </w:r>
      <w:r>
        <w:rPr>
          <w:bCs/>
        </w:rPr>
        <w:t xml:space="preserve"> (42,1%), </w:t>
      </w:r>
      <w:r>
        <w:rPr>
          <w:bCs/>
        </w:rPr>
        <w:t xml:space="preserve">ч</w:t>
      </w:r>
      <w:r>
        <w:rPr>
          <w:bCs/>
        </w:rPr>
        <w:t xml:space="preserve">то на 3,9% больше показателя прошлого года – 38,2%)</w:t>
      </w:r>
      <w:r>
        <w:rPr>
          <w:bCs/>
        </w:rPr>
        <w:t xml:space="preserve">;</w:t>
      </w:r>
      <w:r>
        <w:rPr>
          <w:bCs/>
        </w:rPr>
        <w:t xml:space="preserve"> во Всероссийских акциях («СТОПВИЧСПИД», «Красная лента» и др.) (71820 чел</w:t>
      </w:r>
      <w:r>
        <w:rPr>
          <w:bCs/>
        </w:rPr>
        <w:t xml:space="preserve">овек</w:t>
      </w:r>
      <w:r>
        <w:rPr>
          <w:bCs/>
        </w:rPr>
        <w:t xml:space="preserve"> (39,3%), </w:t>
      </w:r>
      <w:r>
        <w:rPr>
          <w:bCs/>
        </w:rPr>
        <w:t xml:space="preserve">ч</w:t>
      </w:r>
      <w:r>
        <w:rPr>
          <w:bCs/>
        </w:rPr>
        <w:t xml:space="preserve">то на 2,9% больше показателя прошлого года – 36,4%)</w:t>
      </w:r>
      <w:r>
        <w:rPr>
          <w:bCs/>
        </w:rPr>
        <w:t xml:space="preserve">;</w:t>
      </w:r>
      <w:r>
        <w:rPr>
          <w:bCs/>
        </w:rPr>
        <w:t xml:space="preserve"> в </w:t>
      </w:r>
      <w:r>
        <w:rPr>
          <w:bCs/>
        </w:rPr>
        <w:t xml:space="preserve">о</w:t>
      </w:r>
      <w:r>
        <w:rPr>
          <w:bCs/>
        </w:rPr>
        <w:t xml:space="preserve">просах, направленных на определение уровня информированности обучающихся о ВИЧ-инфекции (42881 чел</w:t>
      </w:r>
      <w:r>
        <w:rPr>
          <w:bCs/>
        </w:rPr>
        <w:t xml:space="preserve">овек</w:t>
      </w:r>
      <w:r>
        <w:rPr>
          <w:bCs/>
        </w:rPr>
        <w:t xml:space="preserve"> (23,5%), </w:t>
      </w:r>
      <w:r>
        <w:rPr>
          <w:bCs/>
        </w:rPr>
        <w:t xml:space="preserve">ч</w:t>
      </w:r>
      <w:r>
        <w:rPr>
          <w:bCs/>
        </w:rPr>
        <w:t xml:space="preserve">то на 2,6% меньше показателя прошлого года – 26,1%).</w:t>
      </w:r>
      <w:r>
        <w:t xml:space="preserve"> </w:t>
      </w:r>
      <w:r>
        <w:rPr>
          <w:bCs/>
        </w:rPr>
      </w:r>
      <w:r>
        <w:rPr>
          <w:bCs/>
        </w:rPr>
      </w:r>
    </w:p>
    <w:p>
      <w:pPr>
        <w:ind w:firstLine="709"/>
        <w:spacing w:line="276" w:lineRule="auto"/>
      </w:pPr>
      <w:r>
        <w:t xml:space="preserve">Общее количество обучающихся образовательных организаций </w:t>
      </w:r>
      <w:r>
        <w:br/>
        <w:t xml:space="preserve">с выявленной высокой вероятностью рискового поведения по итогам </w:t>
      </w:r>
      <w:r>
        <w:t xml:space="preserve">социально-психологического тестирования</w:t>
      </w:r>
      <w:r>
        <w:t xml:space="preserve">, с которыми проведена профилактическая работа, составило 26645 человек, что в 2,9 раза больше показателя прошлого года (9219 обучающихся). </w:t>
      </w:r>
      <w:r>
        <w:t xml:space="preserve">По итогу этой деятельности </w:t>
      </w:r>
      <w:r>
        <w:t xml:space="preserve">зафиксировано</w:t>
      </w:r>
      <w:r>
        <w:t xml:space="preserve"> снижение количества </w:t>
      </w:r>
      <w:r>
        <w:t xml:space="preserve">обучающихся</w:t>
      </w:r>
      <w:r>
        <w:t xml:space="preserve">, нуждающихся в коррекционной работе на 83,2% (с 85,8% до 2,6%), в прошлом 2022/2023 учебном году количество указанных обучающихся снизилось на 24,9%. </w:t>
      </w:r>
      <w:r/>
    </w:p>
    <w:p>
      <w:pPr>
        <w:ind w:firstLine="709"/>
        <w:spacing w:line="276" w:lineRule="auto"/>
      </w:pPr>
      <w:r>
        <w:t xml:space="preserve">Одним из приоритетных направлений деятельности </w:t>
      </w:r>
      <w:r>
        <w:rPr>
          <w:i w:val="0"/>
          <w:iCs w:val="0"/>
        </w:rPr>
        <w:t xml:space="preserve">УМВД России по </w:t>
      </w:r>
      <w:r>
        <w:rPr>
          <w:i w:val="0"/>
          <w:iCs w:val="0"/>
          <w:color w:val="000000"/>
        </w:rPr>
        <w:t xml:space="preserve">Ханты-Мансийского автономному округу – Югре</w:t>
      </w:r>
      <w:r>
        <w:t xml:space="preserve"> </w:t>
      </w:r>
      <w:r>
        <w:t xml:space="preserve">остается сокращение спроса на наркотики, путем проведения мероприятий, направленных на профилактику 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pPr>
      <w:r>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w:t>
      </w:r>
      <w:r>
        <w:t xml:space="preserve">в, сотрудники ОВД автономного округа в течение 2024 года принимали активное участие в организации и проведении оперативно-профилактических мероприятий и акций: 2 этапа Общероссийской акции «Сообщи, где торгуют смертью» (1 этап – с 18 по 29 марта 2024 года;</w:t>
      </w:r>
      <w:r>
        <w:t xml:space="preserve"> </w:t>
      </w:r>
      <w:r>
        <w:t xml:space="preserve">2 этап – с 14 по 25 октября 2024 года), 2 этапа межведомственной комплексной оперативно-профилактической операции «Чистое поколение-2024» (1 этап – с 8 по 17 апреля 2024 года; 2 этап – с 11 по 20 ноября 2024 года); 2 этапа Общероссийская акция </w:t>
      </w:r>
      <w:r>
        <w:t xml:space="preserve">«Призывник» (1 этап –</w:t>
      </w:r>
      <w:r>
        <w:t xml:space="preserve"> </w:t>
      </w:r>
      <w:r>
        <w:t xml:space="preserve"> 1 апреля по 15 июля 2024 года, 2 этап — с 1 октября по 1 декабря 2024 года);</w:t>
      </w:r>
      <w:r>
        <w:t xml:space="preserve"> ОПМ «Здоровье» (с 03 по 05 апреля 2024 года); ОПМ «Защита» (с 1 по 10 июня 2024 года), ОПМ «Подросток» (с 23 </w:t>
      </w:r>
      <w:r>
        <w:t xml:space="preserve">по</w:t>
      </w:r>
      <w:r>
        <w:t xml:space="preserve"> 27 сентября 2024 года).</w:t>
      </w:r>
      <w:r/>
    </w:p>
    <w:p>
      <w:pPr>
        <w:ind w:firstLine="709"/>
        <w:spacing w:line="276" w:lineRule="auto"/>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14 тыс. информационно-просветительских мероприятий для обучающихся образовательных учреждений Югры (14193, п.г.</w:t>
      </w:r>
      <w:r>
        <w:rPr>
          <w:rStyle w:val="1655"/>
        </w:rPr>
        <w:footnoteReference w:id="39"/>
      </w:r>
      <w:r>
        <w:t xml:space="preserve"> – 19953), направленных на повышение правовой грамотности в сфере </w:t>
      </w:r>
      <w:r>
        <w:t xml:space="preserve">контроля за</w:t>
      </w:r>
      <w:r>
        <w:t xml:space="preserve"> оборотом наркотиков и формирование здорового образа жизни (кинолектории, беседы, брифинги, круглые столы). </w:t>
      </w:r>
      <w:r/>
    </w:p>
    <w:p>
      <w:pPr>
        <w:ind w:firstLine="709"/>
        <w:spacing w:line="276" w:lineRule="auto"/>
      </w:pPr>
      <w:r>
        <w:t xml:space="preserve">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r/>
    </w:p>
    <w:p>
      <w:pPr>
        <w:ind w:firstLine="709"/>
        <w:spacing w:line="276" w:lineRule="auto"/>
        <w:rPr>
          <w:rFonts w:eastAsia="Arial Unicode MS"/>
        </w:rPr>
      </w:pPr>
      <w: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rPr>
      </w:r>
      <w:r>
        <w:rPr>
          <w:rFonts w:eastAsia="Arial Unicode MS"/>
        </w:rPr>
      </w:r>
    </w:p>
    <w:p>
      <w:pPr>
        <w:ind w:firstLine="709"/>
        <w:spacing w:line="276" w:lineRule="auto"/>
      </w:pPr>
      <w:r>
        <w:t xml:space="preserve">Продолжена разъяснительная работа с родителями </w:t>
      </w:r>
      <w:r>
        <w:t xml:space="preserve">обучающихся</w:t>
      </w:r>
      <w:r>
        <w:t xml:space="preserve">, направленная на профилактику наркомании и наркопреступности в подростковой и молодежной среде. С участием сотрудников полиции состоялось 1270 родительских собрания (п.г. – 1385), в том числе на указанные темы более 802 (п.г. – 690).</w:t>
      </w:r>
      <w:r/>
    </w:p>
    <w:p>
      <w:pPr>
        <w:ind w:firstLine="709"/>
        <w:spacing w:line="276" w:lineRule="auto"/>
      </w:pPr>
      <w:r>
        <w:t xml:space="preserve">В период ученических каникул с участием сотрудников подразделений по контролю за оборотом наркотиков и </w:t>
      </w:r>
      <w:r>
        <w:t xml:space="preserve">по делам несовершеннолетних</w:t>
      </w:r>
      <w:r>
        <w:t xml:space="preserve"> УМВД по округу, во взаимодействии с Департаментом внутренней политики, Департаментом здравоохранения, Департаментом образования и молодежной полит</w:t>
      </w:r>
      <w:r>
        <w:t xml:space="preserve">и</w:t>
      </w:r>
      <w:r>
        <w:t xml:space="preserve">ки, Департаментом физической культуры и спорта </w:t>
        <w:br/>
        <w:t xml:space="preserve">Ханты-Мансийского автономного округа – Югры и другими заинтересованными ведомствами проведено 431 (п.г. – 829) профилактическое мероприятие, приуроченное к Международному дню борьбы с наркоманией и незаконным</w:t>
      </w:r>
      <w:r>
        <w:t xml:space="preserve"> оборотом наркотиков.</w:t>
      </w:r>
      <w:r/>
    </w:p>
    <w:p>
      <w:pPr>
        <w:ind w:firstLine="709"/>
        <w:spacing w:line="276" w:lineRule="auto"/>
      </w:pPr>
      <w:r>
        <w:t xml:space="preserve">В целях привлечения внимания общественности к проблеме наркомании и формирования в обществе негативного отношения к неза</w:t>
      </w:r>
      <w:r>
        <w:t xml:space="preserve">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p>
    <w:p>
      <w:pPr>
        <w:ind w:firstLine="709"/>
        <w:spacing w:line="276" w:lineRule="auto"/>
      </w:pPr>
      <w: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w:t>
      </w:r>
      <w:r>
        <w:t xml:space="preserve">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r/>
    </w:p>
    <w:p>
      <w:pPr>
        <w:ind w:firstLine="709"/>
        <w:spacing w:line="276" w:lineRule="auto"/>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r/>
    </w:p>
    <w:p>
      <w:pPr>
        <w:ind w:firstLine="709"/>
        <w:spacing w:line="276" w:lineRule="auto"/>
      </w:pPr>
      <w:r>
        <w:t xml:space="preserve">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w:t>
      </w:r>
      <w:r>
        <w:t xml:space="preserve">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 </w:t>
      </w:r>
      <w:r/>
    </w:p>
    <w:p>
      <w:pPr>
        <w:ind w:firstLine="709"/>
        <w:spacing w:line="276" w:lineRule="auto"/>
      </w:pPr>
      <w:r>
        <w:t xml:space="preserve">В результате д</w:t>
      </w:r>
      <w:r>
        <w:t xml:space="preserve">анного взаимодействия осуществлена проверка более семисот подозрительных ресурсов (740, п.г. – 961), заблокирован доступ к 11 ресурсам (п.г. – 82), содержащим противоправный контент, связанный с незаконным оборотом наркотиков и пропагандой их употребления.</w:t>
      </w:r>
      <w:r/>
    </w:p>
    <w:p>
      <w:pPr>
        <w:ind w:firstLine="709"/>
        <w:spacing w:line="276" w:lineRule="auto"/>
      </w:pPr>
      <w:r>
        <w:t xml:space="preserve">Справочно: Кроме тог</w:t>
      </w:r>
      <w:r>
        <w:t xml:space="preserve">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31 Интернет-ресурсе (п.г. – 28). По данным сообщениям информация о наличии </w:t>
      </w:r>
      <w:r>
        <w:t xml:space="preserve">противоправного</w:t>
      </w:r>
      <w:r>
        <w:t xml:space="preserve"> контента в сфере НОН подтверждена по 15 (п.г. – 18).</w:t>
      </w:r>
      <w:r/>
    </w:p>
    <w:p>
      <w:pPr>
        <w:ind w:firstLine="709"/>
        <w:spacing w:line="276" w:lineRule="auto"/>
        <w:rPr>
          <w:rFonts w:eastAsia="Arial Unicode MS"/>
        </w:rPr>
      </w:pPr>
      <w:r>
        <w:rPr>
          <w:rFonts w:eastAsia="Arial Unicode MS"/>
        </w:rPr>
        <w:t xml:space="preserve">В результате реализованных в течение 2024 года профилактических мер, удалось достичь положительной тенденции по ряду направлений, характеризующих развитие наркоситуации на территории округа:</w:t>
      </w:r>
      <w:r>
        <w:rPr>
          <w:rFonts w:eastAsia="Arial Unicode MS"/>
        </w:rPr>
      </w:r>
      <w:r>
        <w:rPr>
          <w:rFonts w:eastAsia="Arial Unicode MS"/>
        </w:rPr>
      </w:r>
    </w:p>
    <w:p>
      <w:pPr>
        <w:ind w:firstLine="709"/>
        <w:spacing w:line="276" w:lineRule="auto"/>
        <w:rPr>
          <w:rFonts w:eastAsia="Arial Unicode MS"/>
        </w:rPr>
      </w:pPr>
      <w:r>
        <w:rPr>
          <w:rFonts w:eastAsia="Arial Unicode MS"/>
        </w:rPr>
        <w:t xml:space="preserve">на 16,2% сократилось количество преступлений совершенных наркопотребителями (с 1442 до 1208), в том числе наркопреступлений на 23,9% (с 949 </w:t>
      </w:r>
      <w:r>
        <w:rPr>
          <w:rFonts w:eastAsia="Arial Unicode MS"/>
        </w:rPr>
        <w:t xml:space="preserve">до</w:t>
      </w:r>
      <w:r>
        <w:rPr>
          <w:rFonts w:eastAsia="Arial Unicode MS"/>
        </w:rPr>
        <w:t xml:space="preserve"> 722);</w:t>
      </w:r>
      <w:r>
        <w:rPr>
          <w:rFonts w:eastAsia="Arial Unicode MS"/>
        </w:rPr>
      </w:r>
      <w:r>
        <w:rPr>
          <w:rFonts w:eastAsia="Arial Unicode MS"/>
        </w:rPr>
      </w:r>
    </w:p>
    <w:p>
      <w:pPr>
        <w:ind w:firstLine="709"/>
        <w:spacing w:line="276" w:lineRule="auto"/>
      </w:pPr>
      <w:r>
        <w:rPr>
          <w:rFonts w:eastAsia="Arial Unicode MS"/>
        </w:rPr>
        <w:t xml:space="preserve">на 9,6% сократилось число наркопотребителей, </w:t>
      </w:r>
      <w:r>
        <w:t xml:space="preserve">участников преступных посягательств (с 956 до 864), в том числе лиц, состоящих на наркологических учетах в связи с потреблением наркотиков, совершивших преступления на 25,6% (со 164 </w:t>
      </w:r>
      <w:r>
        <w:t xml:space="preserve">до</w:t>
      </w:r>
      <w:r>
        <w:t xml:space="preserve"> 122), а также наркопотребителей, совершивших наркопреступления на 9% (с 598 до 544); </w:t>
      </w:r>
      <w:r/>
    </w:p>
    <w:p>
      <w:pPr>
        <w:ind w:firstLine="709"/>
        <w:spacing w:line="276" w:lineRule="auto"/>
      </w:pPr>
      <w:r>
        <w:t xml:space="preserve">на 10,4% уменьшилось количество преступлений, совершенных в состоянии наркотического опьянения (с 67 до 60), в том числе связанных с незаконным оборотом наркотиков на 4,8% (с 21 </w:t>
      </w:r>
      <w:r>
        <w:t xml:space="preserve">до</w:t>
      </w:r>
      <w:r>
        <w:t xml:space="preserve"> 20);</w:t>
      </w:r>
      <w:r/>
    </w:p>
    <w:p>
      <w:pPr>
        <w:ind w:firstLine="709"/>
        <w:spacing w:line="276" w:lineRule="auto"/>
      </w:pPr>
      <w:r>
        <w:t xml:space="preserve">на 4% сократилась доля вовлеченных в незаконный оборот наркотиков, представителей молодежной среды в возрасте от 18 до 29 лет (с 39,6% до 35,6%).</w:t>
      </w:r>
      <w:r/>
    </w:p>
    <w:p>
      <w:pPr>
        <w:ind w:firstLine="709"/>
        <w:spacing w:line="276" w:lineRule="auto"/>
        <w:rPr>
          <w:b/>
          <w:i/>
          <w:highlight w:val="yellow"/>
        </w:rPr>
      </w:pPr>
      <w:r>
        <w:rPr>
          <w:b/>
          <w:i/>
          <w:highlight w:val="yellow"/>
        </w:rPr>
      </w:r>
      <w:r>
        <w:rPr>
          <w:b/>
          <w:i/>
          <w:highlight w:val="yellow"/>
        </w:rPr>
      </w:r>
      <w:r>
        <w:rPr>
          <w:b/>
          <w:i/>
          <w:highlight w:val="yellow"/>
        </w:rPr>
      </w:r>
    </w:p>
    <w:p>
      <w:pPr>
        <w:pStyle w:val="1661"/>
        <w:ind w:firstLine="709"/>
        <w:jc w:val="both"/>
        <w:spacing w:after="0" w:line="276" w:lineRule="auto"/>
        <w:rPr>
          <w:b/>
          <w:i/>
          <w:sz w:val="28"/>
          <w:szCs w:val="28"/>
          <w:lang w:val="ru-RU"/>
        </w:rPr>
        <w:outlineLvl w:val="0"/>
      </w:pPr>
      <w:r>
        <w:rPr>
          <w:b/>
          <w:i/>
          <w:sz w:val="28"/>
          <w:szCs w:val="28"/>
          <w:lang w:val="ru-RU"/>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rPr>
          <w:b/>
          <w:i/>
          <w:sz w:val="28"/>
          <w:szCs w:val="28"/>
          <w:lang w:val="ru-RU"/>
        </w:rPr>
      </w:r>
      <w:r>
        <w:rPr>
          <w:b/>
          <w:i/>
          <w:sz w:val="28"/>
          <w:szCs w:val="28"/>
          <w:lang w:val="ru-RU"/>
        </w:rPr>
      </w:r>
    </w:p>
    <w:p>
      <w:pPr>
        <w:pStyle w:val="1664"/>
        <w:ind w:firstLine="709"/>
        <w:jc w:val="both"/>
        <w:spacing w:after="0" w:line="276" w:lineRule="auto"/>
        <w:shd w:val="clear" w:color="auto" w:fill="auto"/>
        <w:rPr>
          <w:sz w:val="28"/>
          <w:szCs w:val="28"/>
        </w:rPr>
      </w:pPr>
      <w:r>
        <w:rPr>
          <w:sz w:val="28"/>
          <w:szCs w:val="28"/>
        </w:rPr>
        <w:t xml:space="preserve">На тер</w:t>
      </w:r>
      <w:r>
        <w:rPr>
          <w:sz w:val="28"/>
          <w:szCs w:val="28"/>
        </w:rPr>
        <w:t xml:space="preserve">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w:t>
      </w:r>
      <w:r>
        <w:rPr>
          <w:sz w:val="28"/>
          <w:szCs w:val="28"/>
        </w:rPr>
        <w:t xml:space="preserve"> Федерации на период до 2030 года, утвержденной Указом Президента Российской Федерации от 23</w:t>
      </w:r>
      <w:r>
        <w:rPr>
          <w:sz w:val="28"/>
          <w:szCs w:val="28"/>
          <w:lang w:val="ru-RU"/>
        </w:rPr>
        <w:t xml:space="preserve">.11.</w:t>
      </w:r>
      <w:r>
        <w:rPr>
          <w:sz w:val="28"/>
          <w:szCs w:val="28"/>
        </w:rPr>
        <w:t xml:space="preserve">2020 № 733.</w:t>
      </w:r>
      <w:r>
        <w:rPr>
          <w:sz w:val="28"/>
          <w:szCs w:val="28"/>
        </w:rPr>
      </w:r>
      <w:r>
        <w:rPr>
          <w:sz w:val="28"/>
          <w:szCs w:val="28"/>
        </w:rPr>
      </w:r>
    </w:p>
    <w:p>
      <w:pPr>
        <w:ind w:firstLine="709"/>
        <w:spacing w:line="276" w:lineRule="auto"/>
        <w:rPr>
          <w:rFonts w:eastAsia="Calibri"/>
          <w:lang w:eastAsia="en-US"/>
        </w:rPr>
      </w:pPr>
      <w:r>
        <w:rPr>
          <w:rFonts w:eastAsia="Calibri"/>
          <w:lang w:eastAsia="en-US"/>
        </w:rPr>
        <w:t xml:space="preserve">В соответствии с </w:t>
      </w:r>
      <w:hyperlink r:id="rId35" w:tooltip="garantF1://12007402.53044" w:history="1">
        <w:r>
          <w:rPr>
            <w:rFonts w:eastAsia="Calibri"/>
            <w:lang w:eastAsia="en-US"/>
          </w:rPr>
          <w:t xml:space="preserve">пунктом 4 статьи 53.4</w:t>
        </w:r>
      </w:hyperlink>
      <w:r>
        <w:rPr>
          <w:rFonts w:eastAsia="Calibri"/>
          <w:lang w:eastAsia="en-US"/>
        </w:rPr>
        <w:t xml:space="preserve"> Федерального закона от </w:t>
      </w:r>
      <w:r>
        <w:rPr>
          <w:rFonts w:eastAsia="Calibri"/>
          <w:lang w:eastAsia="en-US"/>
        </w:rPr>
        <w:t xml:space="preserve">0</w:t>
      </w:r>
      <w:r>
        <w:rPr>
          <w:rFonts w:eastAsia="Calibri"/>
          <w:lang w:eastAsia="en-US"/>
        </w:rPr>
        <w:t xml:space="preserve">8</w:t>
      </w:r>
      <w:r>
        <w:rPr>
          <w:rFonts w:eastAsia="Calibri"/>
          <w:lang w:eastAsia="en-US"/>
        </w:rPr>
        <w:t xml:space="preserve">.01.</w:t>
      </w:r>
      <w:r>
        <w:rPr>
          <w:rFonts w:eastAsia="Calibri"/>
          <w:lang w:eastAsia="en-US"/>
        </w:rPr>
        <w:t xml:space="preserve">1998 </w:t>
      </w:r>
      <w:r>
        <w:rPr>
          <w:rFonts w:eastAsia="Calibri"/>
          <w:lang w:eastAsia="en-US"/>
        </w:rPr>
        <w:t xml:space="preserve">№</w:t>
      </w:r>
      <w:r>
        <w:rPr>
          <w:rFonts w:eastAsia="Calibri"/>
          <w:lang w:eastAsia="en-US"/>
        </w:rPr>
        <w:t xml:space="preserve"> 3-ФЗ «О наркотических средствах и психотропных веществах» </w:t>
      </w:r>
      <w:r>
        <w:t xml:space="preserve">Приказом Минздрава РФ от 06.10.2014 </w:t>
      </w:r>
      <w:r>
        <w:t xml:space="preserve">№</w:t>
      </w:r>
      <w:r>
        <w:t xml:space="preserve"> 581н, утвержден Порядок проведения профилактических медицинских осмотров, обучающихся в</w:t>
      </w:r>
      <w: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r>
        <w:rPr>
          <w:rFonts w:eastAsia="Calibri"/>
          <w:lang w:eastAsia="en-US"/>
        </w:rPr>
      </w:r>
      <w:r>
        <w:rPr>
          <w:rFonts w:eastAsia="Calibri"/>
          <w:lang w:eastAsia="en-US"/>
        </w:rPr>
      </w:r>
    </w:p>
    <w:p>
      <w:pPr>
        <w:ind w:firstLine="709"/>
        <w:spacing w:line="276" w:lineRule="auto"/>
      </w:pPr>
      <w:r>
        <w:t xml:space="preserve">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r/>
    </w:p>
    <w:p>
      <w:pPr>
        <w:ind w:firstLine="709"/>
        <w:spacing w:line="276" w:lineRule="auto"/>
      </w:pPr>
      <w:r>
        <w:t xml:space="preserve">По результатам социально-психологического тестирования в 2023-2024 учебном году профилактическим медицинским осмотрам подлежали 3 464 человек – группа р</w:t>
      </w:r>
      <w:r>
        <w:t xml:space="preserve">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2 217 человек (64,0 %), от числа обучающихся из группы рискогенного поведения.</w:t>
      </w:r>
      <w:r/>
    </w:p>
    <w:p>
      <w:pPr>
        <w:ind w:firstLine="709"/>
        <w:spacing w:line="276" w:lineRule="auto"/>
      </w:pPr>
      <w:r>
        <w:t xml:space="preserve">При этом количество обучающихся не прошедших профилактические медицинские осмотры по уважительным причинам, составило 213 человек (6,1 %). Отказались от прохождения профилактических медицинских осмотров 1034 человека (29,8 %). </w:t>
      </w:r>
      <w:r/>
    </w:p>
    <w:p>
      <w:pPr>
        <w:ind w:firstLine="709"/>
        <w:spacing w:line="276" w:lineRule="auto"/>
      </w:pPr>
      <w:r>
        <w:t xml:space="preserve">На этапе предварительных химико-токсикологических исследований получены отрицательные результаты. </w:t>
      </w:r>
      <w:r/>
    </w:p>
    <w:p>
      <w:pPr>
        <w:ind w:firstLine="709"/>
        <w:spacing w:line="276" w:lineRule="auto"/>
      </w:pPr>
      <w: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r/>
    </w:p>
    <w:p>
      <w:pPr>
        <w:ind w:firstLine="709"/>
        <w:spacing w:line="276" w:lineRule="auto"/>
      </w:pPr>
      <w:r>
        <w:t xml:space="preserve">Дополнительно на территории автономного округа выстроена система мероприятий межведомственного вза</w:t>
      </w:r>
      <w:r>
        <w:t xml:space="preserve">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r/>
    </w:p>
    <w:p>
      <w:pPr>
        <w:ind w:firstLine="709"/>
        <w:spacing w:line="276" w:lineRule="auto"/>
      </w:pPr>
      <w:r>
        <w:t xml:space="preserve">Профилактические медицинские осмотры учеников и студентов проводятся в четыре этапа.</w:t>
      </w:r>
      <w:r/>
    </w:p>
    <w:p>
      <w:pPr>
        <w:ind w:firstLine="709"/>
        <w:spacing w:line="276" w:lineRule="auto"/>
      </w:pPr>
      <w:r>
        <w:t xml:space="preserve">На первом проводится инф</w:t>
      </w:r>
      <w:r>
        <w:t xml:space="preserve">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w:t>
      </w:r>
      <w:r>
        <w:t xml:space="preserve">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r/>
    </w:p>
    <w:p>
      <w:pPr>
        <w:ind w:firstLine="709"/>
        <w:spacing w:line="276" w:lineRule="auto"/>
      </w:pPr>
      <w: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r/>
    </w:p>
    <w:p>
      <w:pPr>
        <w:ind w:firstLine="709"/>
        <w:spacing w:line="276" w:lineRule="auto"/>
      </w:pPr>
      <w:r>
        <w:t xml:space="preserve">Медицинские осмотры проводятся в рамках программы государственных гарантий бесплатного оказания гражданам медицинской помощи.</w:t>
      </w:r>
      <w:r/>
    </w:p>
    <w:p>
      <w:pPr>
        <w:ind w:firstLine="709"/>
        <w:spacing w:line="276" w:lineRule="auto"/>
      </w:pPr>
      <w:r>
        <w:t xml:space="preserve">В случае выявления положительных результатов исследований </w:t>
      </w:r>
      <w:r>
        <w:t xml:space="preserve">обучающийся</w:t>
      </w:r>
      <w:r>
        <w:t xml:space="preserve"> при наличии добровольного информированного согласия направляется на лечение в специализированное медицинское подразделение или организацию.</w:t>
      </w:r>
      <w:r/>
    </w:p>
    <w:p>
      <w:pPr>
        <w:ind w:firstLine="709"/>
        <w:spacing w:line="276" w:lineRule="auto"/>
      </w:pPr>
      <w: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ind w:firstLine="709"/>
        <w:spacing w:line="276" w:lineRule="auto"/>
      </w:pPr>
      <w:r>
        <w:t xml:space="preserve">В рамках реализации проведения профилактических медицинских осмотр</w:t>
      </w:r>
      <w:r>
        <w:t xml:space="preserve">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r/>
    </w:p>
    <w:p>
      <w:pPr>
        <w:ind w:firstLine="709"/>
        <w:spacing w:line="276" w:lineRule="auto"/>
        <w:rPr>
          <w:szCs w:val="20"/>
        </w:rPr>
      </w:pPr>
      <w:r>
        <w:t xml:space="preserve">Взаимодействие Департамента образования и науки Ханты-Мансийского автономного округа – Югры, Департамента здравоохранения Ханты-Мансийского автономн</w:t>
      </w:r>
      <w:r>
        <w:t xml:space="preserve">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w:t>
      </w:r>
      <w:r>
        <w:rPr>
          <w:szCs w:val="20"/>
        </w:rPr>
        <w:t xml:space="preserve">совместного приказа </w:t>
      </w:r>
      <w:r>
        <w:t xml:space="preserve">от 13</w:t>
      </w:r>
      <w:r>
        <w:t xml:space="preserve">.09.</w:t>
      </w:r>
      <w:r>
        <w:t xml:space="preserve">2023 </w:t>
      </w:r>
      <w:r>
        <w:br/>
        <w:t xml:space="preserve">№ 10-П-2275/1357/329/09-ОД-167/01-09 «О проведении в 2023/2024 учебном году социально-психологического тестирования обучающихся в общеобразовательных</w:t>
      </w:r>
      <w:r>
        <w:t xml:space="preserve"> </w:t>
      </w:r>
      <w:r>
        <w:t xml:space="preserve">организациях и профессиональных образовательных организациях, а также в образовательных организациях высшего</w:t>
      </w:r>
      <w:r>
        <w:t xml:space="preserve"> образования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w:t>
      </w:r>
      <w:r>
        <w:t xml:space="preserve">0</w:t>
      </w:r>
      <w:r>
        <w:t xml:space="preserve">7</w:t>
      </w:r>
      <w:r>
        <w:t xml:space="preserve">.09.</w:t>
      </w:r>
      <w:r>
        <w:t xml:space="preserve">2022 № 10-П-1872/1401».</w:t>
      </w:r>
      <w:r>
        <w:rPr>
          <w:szCs w:val="20"/>
        </w:rPr>
      </w:r>
      <w:r>
        <w:rPr>
          <w:szCs w:val="20"/>
        </w:rPr>
      </w:r>
    </w:p>
    <w:p>
      <w:pPr>
        <w:ind w:firstLine="709"/>
        <w:spacing w:line="276" w:lineRule="auto"/>
      </w:pPr>
      <w:r>
        <w:t xml:space="preserve">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r/>
    </w:p>
    <w:p>
      <w:pPr>
        <w:ind w:firstLine="709"/>
        <w:spacing w:line="276" w:lineRule="auto"/>
        <w:tabs>
          <w:tab w:val="left" w:pos="1134" w:leader="none"/>
        </w:tabs>
      </w:pPr>
      <w:r>
        <w:t xml:space="preserve">Приказ</w:t>
      </w:r>
      <w:r>
        <w:t xml:space="preserve">ом Департамента здравоохранения автономного округа от 01.04.2024 № 491 «О распределении тест–панелей для определения психоактивных веществ» обеспечена передача в 2 медицинские организации, тест-панелей для одновременного определения 13 видов психоактивных </w:t>
      </w:r>
      <w:r>
        <w:t xml:space="preserve">веществ и их метаболитов в моче ИВД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в общем количестве 256 единиц.</w:t>
      </w:r>
      <w:r/>
    </w:p>
    <w:p>
      <w:pPr>
        <w:ind w:firstLine="709"/>
        <w:spacing w:line="276" w:lineRule="auto"/>
        <w:tabs>
          <w:tab w:val="left" w:pos="1134" w:leader="none"/>
        </w:tabs>
      </w:pPr>
      <w:r>
        <w:t xml:space="preserve">Приказом Департамента здравоохранения автономного округа от 25.09.2024 № 1355 «О передаче наборов реагентов ФКУ «ЛИУ № 17 УФСИН по ХМАО-Югре» переданы тест </w:t>
      </w:r>
      <w:r>
        <w:t xml:space="preserve">экспресс-системы</w:t>
      </w:r>
      <w:r>
        <w:t xml:space="preserve"> </w:t>
      </w:r>
      <w:r>
        <w:t xml:space="preserve">«Нарколаб – мини», иммунохроматографического экспресс-анализа (амфетамин, барбитураты, бензодиазепины, кокаин, этилглюкуронид, синтетические каннабиноиды, метилендиоксиметамфетамин, катиноны, метамфетамин, метадон, опиаты, фенциклидин, марихуана) – 250 ед.</w:t>
      </w:r>
      <w:r/>
    </w:p>
    <w:p>
      <w:pPr>
        <w:ind w:firstLine="709"/>
        <w:spacing w:line="276" w:lineRule="auto"/>
        <w:tabs>
          <w:tab w:val="left" w:pos="1134" w:leader="none"/>
        </w:tabs>
      </w:pPr>
      <w:r>
        <w:t xml:space="preserve">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11</w:t>
      </w:r>
      <w:r>
        <w:t xml:space="preserve">.09.</w:t>
      </w:r>
      <w:r>
        <w:t xml:space="preserve">2024</w:t>
      </w:r>
      <w:r>
        <w:t xml:space="preserve"> </w:t>
      </w:r>
      <w:r>
        <w:br/>
        <w:t xml:space="preserve">№ 10-П-1853/1277/287/09-ОД-184/01-09 «О проведении в 2024/2025 учебном го</w:t>
      </w:r>
      <w:r>
        <w:t xml:space="preserve">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w:t>
      </w:r>
      <w:r>
        <w:t xml:space="preserve">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w:t>
      </w:r>
      <w:r>
        <w:t xml:space="preserve">утратившим</w:t>
      </w:r>
      <w:r>
        <w:t xml:space="preserve"> силу приказа от 13</w:t>
      </w:r>
      <w:r>
        <w:t xml:space="preserve">.09.</w:t>
      </w:r>
      <w:r>
        <w:t xml:space="preserve">2023 </w:t>
        <w:br/>
        <w:t xml:space="preserve">№ 10-П-2275/1357/329/09-ОД-167/01-09».</w:t>
      </w:r>
      <w:r/>
    </w:p>
    <w:p>
      <w:pPr>
        <w:ind w:firstLine="709"/>
        <w:spacing w:line="276" w:lineRule="auto"/>
        <w:tabs>
          <w:tab w:val="left" w:pos="1134" w:leader="none"/>
        </w:tabs>
      </w:pPr>
      <w:r>
        <w:t xml:space="preserve">Кроме того, с целью определения при допризывной проверке на военную службу наличия психоактивных веществ: </w:t>
      </w:r>
      <w:r/>
    </w:p>
    <w:p>
      <w:pPr>
        <w:ind w:firstLine="709"/>
        <w:spacing w:line="276" w:lineRule="auto"/>
        <w:tabs>
          <w:tab w:val="left" w:pos="1134" w:leader="none"/>
        </w:tabs>
      </w:pPr>
      <w:r>
        <w:t xml:space="preserve">п</w:t>
      </w:r>
      <w:r>
        <w:t xml:space="preserve">риказом Департамента здравоохранения </w:t>
      </w:r>
      <w:r>
        <w:t xml:space="preserve">автономного округа</w:t>
      </w:r>
      <w:r>
        <w:t xml:space="preserve"> от 13.09.2024 № 1292 «О пе</w:t>
      </w:r>
      <w:r>
        <w:t xml:space="preserve">редаче наборов реагентов в Военный комиссариат ХМАО-Югры» осуществлена передача 10 упаковок иммунохроматографических экспресс-анализ для ВИЧ-1 и ВИЧ-2 антитела ИВД в упаковке 25 шт.; 10 упаковок иммунохроматогрффических экспресс-анализа на вирус гепатита</w:t>
      </w:r>
      <w:r>
        <w:t xml:space="preserve"> В</w:t>
      </w:r>
      <w:r>
        <w:t xml:space="preserve"> антитела ИВД в упаковке 25 шт.; 12 упаковок иммунохроматографических экспресс-анализа на вирус гепатита С антитела ИВД в упаковке 25 шт.</w:t>
      </w:r>
      <w:r/>
    </w:p>
    <w:p>
      <w:pPr>
        <w:ind w:firstLine="709"/>
        <w:spacing w:line="276" w:lineRule="auto"/>
        <w:tabs>
          <w:tab w:val="left" w:pos="1134" w:leader="none"/>
        </w:tabs>
      </w:pPr>
      <w:r>
        <w:t xml:space="preserve">п</w:t>
      </w:r>
      <w:r>
        <w:t xml:space="preserve">риказом Департамента здравоохранения </w:t>
      </w:r>
      <w:r>
        <w:t xml:space="preserve">автономного округа</w:t>
      </w:r>
      <w:r>
        <w:t xml:space="preserve"> </w:t>
      </w:r>
      <w:r>
        <w:t xml:space="preserve">от 06.09.2024 № 1251 «О передаче наборов реагентов в Военный комиссариат ХМАО-Югры» осуществлена передача 10 наборов иммунохроматографических тест-систем для обнаружения антител к ВИЧ-1/ВИЧ-2 в наборе 30 шт.; 10 наборов иммунохроматогрффических экспресс-</w:t>
      </w:r>
      <w:r>
        <w:t xml:space="preserve">анализа на вирус гепатита</w:t>
      </w:r>
      <w:r>
        <w:t xml:space="preserve"> В</w:t>
      </w:r>
      <w:r>
        <w:t xml:space="preserve"> антитела ИВД в наборе 25 шт.; 12 наборов иммунохроматографических экспресс-анализа на вирус гепатита С антитела ИВД в наборе 25 шт.</w:t>
      </w:r>
      <w:r/>
    </w:p>
    <w:p>
      <w:pPr>
        <w:ind w:firstLine="709"/>
        <w:spacing w:line="276" w:lineRule="auto"/>
        <w:tabs>
          <w:tab w:val="left" w:pos="1134" w:leader="none"/>
        </w:tabs>
      </w:pPr>
      <w:r>
        <w:t xml:space="preserve">Во всех 5 окружных психоневрологических учреждения</w:t>
      </w:r>
      <w:r>
        <w:t xml:space="preserve">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r/>
    </w:p>
    <w:p>
      <w:pPr>
        <w:ind w:firstLine="709"/>
        <w:spacing w:line="276" w:lineRule="auto"/>
        <w:tabs>
          <w:tab w:val="left" w:pos="1134" w:leader="none"/>
        </w:tabs>
      </w:pPr>
      <w:r>
        <w:t xml:space="preserve">В автономном округе </w:t>
      </w:r>
      <w:r>
        <w:t xml:space="preserve">на конец</w:t>
      </w:r>
      <w:r>
        <w:t xml:space="preserve"> 2024 года работают 62 врача – психиатра-нарколога, в том числе в амбулаторно-поликлинических подразделениях 33 врача – психиатра-нарколога.</w:t>
      </w:r>
      <w:r/>
    </w:p>
    <w:p>
      <w:pPr>
        <w:ind w:firstLine="709"/>
        <w:spacing w:line="276" w:lineRule="auto"/>
        <w:tabs>
          <w:tab w:val="left" w:pos="1134" w:leader="none"/>
        </w:tabs>
      </w:pPr>
      <w:r>
        <w:t xml:space="preserve">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r/>
    </w:p>
    <w:p>
      <w:pPr>
        <w:ind w:firstLine="709"/>
        <w:spacing w:line="276" w:lineRule="auto"/>
        <w:tabs>
          <w:tab w:val="left" w:pos="1134" w:leader="none"/>
        </w:tabs>
      </w:pPr>
      <w:r>
        <w:t xml:space="preserve">Таким образом:</w:t>
      </w:r>
      <w:r/>
    </w:p>
    <w:p>
      <w:pPr>
        <w:numPr>
          <w:ilvl w:val="0"/>
          <w:numId w:val="8"/>
        </w:numPr>
        <w:ind w:left="0" w:firstLine="709"/>
        <w:spacing w:line="276" w:lineRule="auto"/>
        <w:tabs>
          <w:tab w:val="left" w:pos="1134" w:leader="none"/>
        </w:tabs>
      </w:pPr>
      <w:r>
        <w:t xml:space="preserve">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r/>
    </w:p>
    <w:p>
      <w:pPr>
        <w:numPr>
          <w:ilvl w:val="0"/>
          <w:numId w:val="8"/>
        </w:numPr>
        <w:ind w:left="0" w:firstLine="709"/>
        <w:spacing w:line="276" w:lineRule="auto"/>
        <w:tabs>
          <w:tab w:val="left" w:pos="1134" w:leader="none"/>
        </w:tabs>
      </w:pPr>
      <w:r>
        <w:t xml:space="preserve">Предварительные</w:t>
      </w:r>
      <w:r>
        <w:t xml:space="preserve"> ХТИ проводятся с использованием методов иммуноферментного или иммунохимического анализа, исключающих визуальную оценку результатов.</w:t>
      </w:r>
      <w:r/>
    </w:p>
    <w:p>
      <w:pPr>
        <w:numPr>
          <w:ilvl w:val="0"/>
          <w:numId w:val="8"/>
        </w:numPr>
        <w:ind w:left="0" w:firstLine="709"/>
        <w:spacing w:line="276" w:lineRule="auto"/>
        <w:tabs>
          <w:tab w:val="left" w:pos="1134" w:leader="none"/>
        </w:tabs>
      </w:pPr>
      <w:r>
        <w:t xml:space="preserve">Департаментом здравоохранения а</w:t>
      </w:r>
      <w:r>
        <w:t xml:space="preserve">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r/>
    </w:p>
    <w:p>
      <w:pPr>
        <w:numPr>
          <w:ilvl w:val="0"/>
          <w:numId w:val="8"/>
        </w:numPr>
        <w:ind w:left="0" w:firstLine="709"/>
        <w:spacing w:line="276" w:lineRule="auto"/>
        <w:tabs>
          <w:tab w:val="left" w:pos="1134" w:leader="none"/>
        </w:tabs>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r>
        <w:rPr>
          <w:highlight w:val="yellow"/>
        </w:rPr>
      </w:r>
    </w:p>
    <w:p>
      <w:pPr>
        <w:ind w:firstLine="709"/>
        <w:spacing w:line="276" w:lineRule="auto"/>
        <w:rPr>
          <w:b/>
        </w:rPr>
        <w:outlineLvl w:val="1"/>
      </w:pPr>
      <w:r>
        <w:rPr>
          <w:b/>
        </w:rPr>
        <w:t xml:space="preserve">5. Анализ, оценка и динамика ситуации в сфере противодействия незаконному обороту наркотиков</w:t>
      </w:r>
      <w:r>
        <w:rPr>
          <w:b/>
        </w:rPr>
      </w:r>
      <w:r>
        <w:rPr>
          <w:b/>
        </w:rPr>
      </w:r>
    </w:p>
    <w:p>
      <w:pPr>
        <w:ind w:firstLine="709"/>
        <w:spacing w:line="276" w:lineRule="auto"/>
        <w:rPr>
          <w:lang w:eastAsia="ar-SA"/>
        </w:rPr>
      </w:pPr>
      <w:r>
        <w:rPr>
          <w:lang w:eastAsia="ar-SA"/>
        </w:rPr>
      </w:r>
      <w:r>
        <w:rPr>
          <w:lang w:eastAsia="ar-SA"/>
        </w:rPr>
      </w:r>
      <w:r>
        <w:rPr>
          <w:lang w:eastAsia="ar-SA"/>
        </w:rPr>
      </w:r>
    </w:p>
    <w:p>
      <w:pPr>
        <w:pStyle w:val="1652"/>
        <w:numPr>
          <w:ilvl w:val="0"/>
          <w:numId w:val="17"/>
        </w:numPr>
        <w:ind w:left="0" w:firstLine="709"/>
        <w:spacing w:line="276" w:lineRule="auto"/>
        <w:rPr>
          <w:color w:val="ff0000"/>
          <w:lang w:eastAsia="ar-SA"/>
        </w:rPr>
      </w:pPr>
      <w:r>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2024 года свидетельствует о контроле за ситуацией в данной сфере со стороны правоохранительных органов</w:t>
      </w:r>
      <w:r>
        <w:rPr>
          <w:lang w:eastAsia="ar-SA"/>
        </w:rPr>
        <w:t xml:space="preserve">. В</w:t>
      </w:r>
      <w:r>
        <w:rPr>
          <w:lang w:eastAsia="ar-SA"/>
        </w:rPr>
        <w:t xml:space="preserve">месте с тем </w:t>
      </w:r>
      <w:r>
        <w:t xml:space="preserve">наркомания и незаконный оборот наркотических средств и психотропных веще</w:t>
      </w:r>
      <w:r>
        <w:t xml:space="preserve">ств пр</w:t>
      </w:r>
      <w:r>
        <w:t xml:space="preserve">одолжают оставаться одной из серьезных угроз безопасности и острой социальной проблемой для региона. </w:t>
      </w:r>
      <w:r>
        <w:rPr>
          <w:color w:val="ff0000"/>
          <w:lang w:eastAsia="ar-SA"/>
        </w:rPr>
      </w:r>
      <w:r>
        <w:rPr>
          <w:color w:val="ff0000"/>
          <w:lang w:eastAsia="ar-SA"/>
        </w:rPr>
      </w:r>
    </w:p>
    <w:p>
      <w:pPr>
        <w:pStyle w:val="1652"/>
        <w:numPr>
          <w:ilvl w:val="0"/>
          <w:numId w:val="17"/>
        </w:numPr>
        <w:ind w:left="0" w:firstLine="709"/>
        <w:spacing w:line="276" w:lineRule="auto"/>
        <w:rPr>
          <w:lang w:eastAsia="ar-SA"/>
        </w:rPr>
      </w:pPr>
      <w:r>
        <w:rPr>
          <w:lang w:eastAsia="ar-SA"/>
        </w:rPr>
        <w:t xml:space="preserve">Как и прежде ключевыми факторами, влияющими на развитие наркоситуации в округе,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r>
        <w:rPr>
          <w:lang w:eastAsia="ar-SA"/>
        </w:rPr>
      </w:r>
      <w:r>
        <w:rPr>
          <w:lang w:eastAsia="ar-SA"/>
        </w:rPr>
      </w:r>
    </w:p>
    <w:p>
      <w:pPr>
        <w:pStyle w:val="1652"/>
        <w:numPr>
          <w:ilvl w:val="0"/>
          <w:numId w:val="17"/>
        </w:numPr>
        <w:ind w:left="0" w:firstLine="709"/>
        <w:spacing w:line="276" w:lineRule="auto"/>
        <w:rPr>
          <w:lang w:eastAsia="ar-SA"/>
        </w:rPr>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r>
        <w:rPr>
          <w:lang w:eastAsia="ar-SA"/>
        </w:rPr>
      </w:r>
      <w:r>
        <w:rPr>
          <w:lang w:eastAsia="ar-SA"/>
        </w:rPr>
      </w:r>
    </w:p>
    <w:p>
      <w:pPr>
        <w:pStyle w:val="1652"/>
        <w:numPr>
          <w:ilvl w:val="0"/>
          <w:numId w:val="17"/>
        </w:numPr>
        <w:ind w:left="0" w:firstLine="709"/>
        <w:spacing w:line="276" w:lineRule="auto"/>
      </w:pPr>
      <w:r>
        <w:t xml:space="preserve">Среди всех из</w:t>
      </w:r>
      <w:r>
        <w:t xml:space="preserve">ъятых подконтрольных веществ 223 кг 492 грамм (+18,1%, </w:t>
      </w:r>
      <w:r>
        <w:t xml:space="preserve">АППГ</w:t>
      </w:r>
      <w:r>
        <w:t xml:space="preserve"> – 189 кг 265 грамма) наибольшую долю составляют именно синтетические наркотики – 197 кг 021 грамм или 88,2% от общего количества изъятых подконтрольных веществ (</w:t>
      </w:r>
      <w:r>
        <w:t xml:space="preserve">АППГ</w:t>
      </w:r>
      <w:r>
        <w:t xml:space="preserve"> – 97 кг 365 грамм или 51,4%). </w:t>
      </w:r>
      <w:r/>
    </w:p>
    <w:p>
      <w:pPr>
        <w:pStyle w:val="1652"/>
        <w:numPr>
          <w:ilvl w:val="0"/>
          <w:numId w:val="17"/>
        </w:numPr>
        <w:ind w:left="0" w:firstLine="709"/>
        <w:spacing w:line="276" w:lineRule="auto"/>
      </w:pPr>
      <w:r>
        <w:rPr>
          <w:highlight w:val="white"/>
        </w:rPr>
        <w:t xml:space="preserve">Значительно </w:t>
      </w:r>
      <w:r>
        <w:rPr>
          <w:highlight w:val="white"/>
        </w:rPr>
        <w:t xml:space="preserve">сократилась доля изъятых наркотиков опийной группы </w:t>
      </w:r>
      <w:r>
        <w:rPr>
          <w:color w:val="000000" w:themeColor="text1"/>
          <w:highlight w:val="white"/>
        </w:rPr>
        <w:t xml:space="preserve">на 32,8%</w:t>
      </w:r>
      <w:r>
        <w:rPr>
          <w:highlight w:val="white"/>
        </w:rPr>
        <w:t xml:space="preserve"> и составила 0,3% или 606 грамм (</w:t>
      </w:r>
      <w:r>
        <w:rPr>
          <w:highlight w:val="white"/>
        </w:rPr>
        <w:t xml:space="preserve">АППГ</w:t>
      </w:r>
      <w:r>
        <w:rPr>
          <w:highlight w:val="white"/>
        </w:rPr>
        <w:t xml:space="preserve"> - 62 кг 759 грамм или 33,1%)</w:t>
      </w:r>
      <w:r>
        <w:t xml:space="preserve">, а доля наркотиков каннабисной группы сократилась на 5,3% и составила 9,1% или 20 кг 359 грамм (п.г. – 27 кг 218 грамм или 14,4%).</w:t>
      </w:r>
      <w:r/>
    </w:p>
    <w:p>
      <w:pPr>
        <w:pStyle w:val="1652"/>
        <w:numPr>
          <w:ilvl w:val="0"/>
          <w:numId w:val="17"/>
        </w:numPr>
        <w:ind w:left="0" w:firstLine="709"/>
        <w:spacing w:line="276" w:lineRule="auto"/>
      </w:pPr>
      <w:r>
        <w:t xml:space="preserve">Имеются факты изъятия из незаконного оборота героина, масса которого составила 413 грамм (</w:t>
      </w:r>
      <w:r>
        <w:t xml:space="preserve">снижение</w:t>
      </w:r>
      <w:r>
        <w:t xml:space="preserve"> в 139 раз, </w:t>
      </w:r>
      <w:r>
        <w:t xml:space="preserve">АППГ</w:t>
      </w:r>
      <w:r>
        <w:t xml:space="preserve"> – 57 кг 227 грамм), метадона 1 кг 482 грамма (</w:t>
      </w:r>
      <w:r>
        <w:t xml:space="preserve">увеличение на </w:t>
      </w:r>
      <w:r>
        <w:t xml:space="preserve">7%, </w:t>
      </w:r>
      <w:r>
        <w:t xml:space="preserve">АППГ</w:t>
      </w:r>
      <w:r>
        <w:t xml:space="preserve"> – 1 кг 385 грамм), кокаина 66 грамм (</w:t>
      </w:r>
      <w:r>
        <w:t xml:space="preserve">увеличение</w:t>
      </w:r>
      <w:r>
        <w:t xml:space="preserve"> в 22 раза; </w:t>
      </w:r>
      <w:r>
        <w:t xml:space="preserve">АППГ</w:t>
      </w:r>
      <w:r>
        <w:t xml:space="preserve"> – 3 грамма).</w:t>
      </w:r>
      <w:r>
        <w:t xml:space="preserve"> Также изъято 55 грамм психотропных веществ (</w:t>
      </w:r>
      <w:r>
        <w:t xml:space="preserve">снижение на </w:t>
      </w:r>
      <w:r>
        <w:t xml:space="preserve">85,6%, </w:t>
      </w:r>
      <w:r>
        <w:t xml:space="preserve">АППГ</w:t>
      </w:r>
      <w:r>
        <w:t xml:space="preserve"> – 383 грамма), 5 кг 392 грамма сильнодействующих веществ (</w:t>
      </w:r>
      <w:r>
        <w:t xml:space="preserve">увеличение</w:t>
      </w:r>
      <w:r>
        <w:t xml:space="preserve"> в 3,5 раза, </w:t>
      </w:r>
      <w:r>
        <w:t xml:space="preserve">АППГ</w:t>
      </w:r>
      <w:r>
        <w:t xml:space="preserve"> – 1 кг 537 грамм).</w:t>
      </w:r>
      <w:r/>
    </w:p>
    <w:p>
      <w:pPr>
        <w:pStyle w:val="1652"/>
        <w:numPr>
          <w:ilvl w:val="0"/>
          <w:numId w:val="17"/>
        </w:numPr>
        <w:ind w:left="0" w:firstLine="709"/>
        <w:spacing w:line="240" w:lineRule="auto"/>
        <w:rPr>
          <w:i/>
          <w:sz w:val="24"/>
          <w:szCs w:val="24"/>
        </w:rPr>
      </w:pPr>
      <w:r>
        <w:rPr>
          <w:i/>
          <w:sz w:val="24"/>
          <w:szCs w:val="24"/>
        </w:rPr>
        <w:t xml:space="preserve">Справочно: Наибольшую распространенность на территории округа имеют следующие наркотики:</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амфетаминового ряда: аналоги N-метилэфедрона (α-PVP), мефедрон, реже MDMA (1272 изъятия); </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синтетические аналоги ТГК (6 изъятий);</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каннабисного ряда: марихуана, гашиш, гашишное масло (322 изъятия);</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опийной группы: героин, опий, дезоморфин (39 изъятий); </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метадон (63 изъятия).</w:t>
      </w:r>
      <w:r>
        <w:rPr>
          <w:i/>
          <w:sz w:val="24"/>
          <w:szCs w:val="24"/>
        </w:rPr>
      </w:r>
      <w:r>
        <w:rPr>
          <w:i/>
          <w:sz w:val="24"/>
          <w:szCs w:val="24"/>
        </w:rPr>
      </w:r>
    </w:p>
    <w:p>
      <w:pPr>
        <w:pStyle w:val="1652"/>
        <w:numPr>
          <w:ilvl w:val="0"/>
          <w:numId w:val="17"/>
        </w:numPr>
        <w:ind w:left="0" w:firstLine="709"/>
        <w:spacing w:line="240" w:lineRule="auto"/>
        <w:rPr>
          <w:i/>
          <w:sz w:val="24"/>
          <w:szCs w:val="24"/>
        </w:rPr>
      </w:pPr>
      <w:r>
        <w:rPr>
          <w:i/>
          <w:sz w:val="24"/>
          <w:szCs w:val="24"/>
        </w:rPr>
        <w:t xml:space="preserve">Помимо указанных наркотиков имеются факты незаконного оборота психотропных веществ (4 изъятия), а также сильнодействующих веществ (48 изъятий).</w:t>
      </w:r>
      <w:r>
        <w:rPr>
          <w:i/>
          <w:sz w:val="24"/>
          <w:szCs w:val="24"/>
        </w:rPr>
      </w:r>
      <w:r>
        <w:rPr>
          <w:i/>
          <w:sz w:val="24"/>
          <w:szCs w:val="24"/>
        </w:rPr>
      </w:r>
    </w:p>
    <w:p>
      <w:pPr>
        <w:pStyle w:val="1652"/>
        <w:numPr>
          <w:ilvl w:val="0"/>
          <w:numId w:val="17"/>
        </w:numPr>
        <w:ind w:left="0" w:firstLine="709"/>
        <w:spacing w:line="276" w:lineRule="auto"/>
      </w:pPr>
      <w:r>
        <w:t xml:space="preserve">Значительное к</w:t>
      </w:r>
      <w:r>
        <w:t xml:space="preserve">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w:t>
      </w:r>
      <w:r>
        <w:t xml:space="preserve">Интернет-магазины</w:t>
      </w:r>
      <w:r>
        <w:t xml:space="preserve">».</w:t>
      </w:r>
      <w:r/>
    </w:p>
    <w:p>
      <w:pPr>
        <w:pStyle w:val="1652"/>
        <w:numPr>
          <w:ilvl w:val="0"/>
          <w:numId w:val="17"/>
        </w:numPr>
        <w:ind w:left="0" w:firstLine="709"/>
        <w:spacing w:line="276" w:lineRule="auto"/>
      </w:pPr>
      <w:r>
        <w:t xml:space="preserve">Югра отнесен</w:t>
      </w:r>
      <w:r>
        <w:t xml:space="preserve">а</w:t>
      </w:r>
      <w:r>
        <w:t xml:space="preserve">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w:t>
      </w:r>
      <w:r>
        <w:t xml:space="preserve">я и раннеосенние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w:t>
      </w:r>
      <w:r/>
    </w:p>
    <w:p>
      <w:pPr>
        <w:pStyle w:val="1652"/>
        <w:numPr>
          <w:ilvl w:val="0"/>
          <w:numId w:val="17"/>
        </w:numPr>
        <w:ind w:left="0" w:firstLine="709"/>
        <w:spacing w:line="276" w:lineRule="auto"/>
      </w:pPr>
      <w:r>
        <w:t xml:space="preserve">В этой связи, выявление очагов дикого произрастания наркосодержащих растений носит эпизодический характер. В </w:t>
      </w:r>
      <w:r>
        <w:t xml:space="preserve">2023-</w:t>
      </w:r>
      <w:r>
        <w:t xml:space="preserve">2024 год</w:t>
      </w:r>
      <w:r>
        <w:t xml:space="preserve">ы</w:t>
      </w:r>
      <w:r>
        <w:t xml:space="preserve"> очаги дикого произрастания наркосодержащих растений не выявлялись</w:t>
      </w:r>
      <w:r>
        <w:t xml:space="preserve">.</w:t>
      </w:r>
      <w:r/>
    </w:p>
    <w:p>
      <w:pPr>
        <w:pStyle w:val="1652"/>
        <w:numPr>
          <w:ilvl w:val="0"/>
          <w:numId w:val="17"/>
        </w:numPr>
        <w:ind w:left="0" w:firstLine="709"/>
        <w:spacing w:line="276" w:lineRule="auto"/>
      </w:pPr>
      <w:r>
        <w:t xml:space="preserve">Факты незаконного культивирования наркосодержащих растений в незначительных количествах, как правило</w:t>
      </w:r>
      <w:r>
        <w:t xml:space="preserve">,</w:t>
      </w:r>
      <w:r>
        <w:t xml:space="preserve"> методом гидропоники из приобретённых с использованием сети Интернет семян конопли в помещения</w:t>
      </w:r>
      <w:r>
        <w:t xml:space="preserve">х с искусственно созданными для этих целей условиями (домах, гаражах, банях), также носят эпизодический характер, но при этом остаются одним из факторов, оказывающих хоть и незначительное, но при этом негативное влияние на развитие наркоситуации в регионе.</w:t>
      </w:r>
      <w:r/>
    </w:p>
    <w:p>
      <w:pPr>
        <w:pStyle w:val="1652"/>
        <w:numPr>
          <w:ilvl w:val="0"/>
          <w:numId w:val="17"/>
        </w:numPr>
        <w:ind w:left="0" w:firstLine="709"/>
        <w:spacing w:line="276" w:lineRule="auto"/>
      </w:pPr>
      <w:r>
        <w:t xml:space="preserve">В </w:t>
      </w:r>
      <w:r>
        <w:t xml:space="preserve">2024 год</w:t>
      </w:r>
      <w:r>
        <w:t xml:space="preserve">у</w:t>
      </w:r>
      <w:r>
        <w:t xml:space="preserve"> в рамках противодействия фактам незаконного культивирования наркосодержащих растений задокументировано</w:t>
      </w:r>
      <w:r>
        <w:t xml:space="preserve"> 4 преступления, предусмотренных ст. 231 УК РФ (</w:t>
      </w:r>
      <w:r>
        <w:t xml:space="preserve">АППГ</w:t>
      </w:r>
      <w:r>
        <w:t xml:space="preserve"> - 2), пресечено 3 административных правонарушения, предусмотренных ст. 10.5.1 КоАП РФ (</w:t>
      </w:r>
      <w:r>
        <w:t xml:space="preserve">АППГ</w:t>
      </w:r>
      <w:r>
        <w:t xml:space="preserve"> – 13), уничтожено 5 незаконно выращенных посевов наркосодержащих растений (</w:t>
      </w:r>
      <w:r>
        <w:t xml:space="preserve">АППГ</w:t>
      </w:r>
      <w:r>
        <w:t xml:space="preserve"> – 5), общей площадью 9 м</w:t>
      </w:r>
      <w:r>
        <w:rPr>
          <w:vertAlign w:val="superscript"/>
        </w:rPr>
        <w:t xml:space="preserve">2</w:t>
      </w:r>
      <w:r>
        <w:t xml:space="preserve"> (</w:t>
      </w:r>
      <w:r>
        <w:t xml:space="preserve">АППГ</w:t>
      </w:r>
      <w:r>
        <w:t xml:space="preserve"> – 46 м</w:t>
      </w:r>
      <w:r>
        <w:rPr>
          <w:vertAlign w:val="superscript"/>
        </w:rPr>
        <w:t xml:space="preserve">2</w:t>
      </w:r>
      <w:r>
        <w:t xml:space="preserve">).</w:t>
      </w:r>
      <w:r/>
    </w:p>
    <w:p>
      <w:pPr>
        <w:pStyle w:val="1652"/>
        <w:numPr>
          <w:ilvl w:val="0"/>
          <w:numId w:val="17"/>
        </w:numPr>
        <w:ind w:left="0" w:firstLine="709"/>
        <w:spacing w:line="276" w:lineRule="auto"/>
      </w:pPr>
      <w:r>
        <w:t xml:space="preserve">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r/>
    </w:p>
    <w:p>
      <w:pPr>
        <w:pStyle w:val="1652"/>
        <w:numPr>
          <w:ilvl w:val="0"/>
          <w:numId w:val="17"/>
        </w:numPr>
        <w:ind w:left="0" w:firstLine="709"/>
        <w:spacing w:line="276" w:lineRule="auto"/>
      </w:pPr>
      <w:r>
        <w:t xml:space="preserve">Средняя стоимость наркотических веществ в городах </w:t>
      </w:r>
      <w:r>
        <w:t xml:space="preserve">автономного </w:t>
      </w:r>
      <w:r>
        <w:t xml:space="preserve">округа значительно разнится </w:t>
      </w:r>
      <w:r>
        <w:t xml:space="preserve">(см. табл. 5) </w:t>
      </w:r>
      <w:r>
        <w:t xml:space="preserve">и зависит от спроса, который, в свою очередь определяется расположением населенного пункта, объемом </w:t>
      </w:r>
      <w:r>
        <w:t xml:space="preserve">партии, качеством, способом доставки наркотиков и даже временем реализации.</w:t>
      </w:r>
      <w:r/>
    </w:p>
    <w:p>
      <w:pPr>
        <w:pStyle w:val="1697"/>
        <w:numPr>
          <w:ilvl w:val="1"/>
          <w:numId w:val="17"/>
        </w:numPr>
        <w:ind w:left="0" w:right="0" w:firstLine="709"/>
        <w:jc w:val="right"/>
        <w:spacing w:line="276" w:lineRule="auto"/>
        <w:rPr>
          <w:rFonts w:ascii="Times New Roman" w:hAnsi="Times New Roman" w:cs="Times New Roman"/>
          <w:b w:val="0"/>
          <w:bCs/>
          <w:sz w:val="28"/>
          <w:szCs w:val="28"/>
        </w:rPr>
      </w:pPr>
      <w:r>
        <w:rPr>
          <w:rFonts w:ascii="Times New Roman" w:hAnsi="Times New Roman" w:cs="Times New Roman"/>
          <w:b w:val="0"/>
          <w:bCs/>
          <w:sz w:val="28"/>
          <w:szCs w:val="28"/>
        </w:rPr>
        <w:t xml:space="preserve">Таблица 5</w:t>
      </w:r>
      <w:r>
        <w:rPr>
          <w:rFonts w:ascii="Times New Roman" w:hAnsi="Times New Roman" w:cs="Times New Roman"/>
          <w:b w:val="0"/>
          <w:bCs/>
          <w:sz w:val="28"/>
          <w:szCs w:val="28"/>
        </w:rPr>
      </w:r>
      <w:r>
        <w:rPr>
          <w:rFonts w:ascii="Times New Roman" w:hAnsi="Times New Roman" w:cs="Times New Roman"/>
          <w:b w:val="0"/>
          <w:bCs/>
          <w:sz w:val="28"/>
          <w:szCs w:val="28"/>
        </w:rPr>
      </w:r>
    </w:p>
    <w:p>
      <w:pPr>
        <w:pStyle w:val="1697"/>
        <w:numPr>
          <w:ilvl w:val="1"/>
          <w:numId w:val="17"/>
        </w:numPr>
        <w:ind w:left="0" w:right="0" w:firstLine="0"/>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r>
      <w:r>
        <w:rPr>
          <w:rFonts w:ascii="Times New Roman" w:hAnsi="Times New Roman" w:cs="Times New Roman"/>
          <w:bCs/>
          <w:sz w:val="28"/>
          <w:szCs w:val="28"/>
        </w:rPr>
        <w:br/>
      </w:r>
      <w:r>
        <w:rPr>
          <w:rFonts w:ascii="Times New Roman" w:hAnsi="Times New Roman" w:cs="Times New Roman"/>
          <w:bCs/>
          <w:sz w:val="28"/>
          <w:szCs w:val="28"/>
        </w:rPr>
        <w:t xml:space="preserve">и розничными распространителями</w:t>
      </w:r>
      <w:r>
        <w:rPr>
          <w:rFonts w:ascii="Times New Roman" w:hAnsi="Times New Roman" w:cs="Times New Roman"/>
          <w:bCs/>
          <w:sz w:val="28"/>
          <w:szCs w:val="28"/>
        </w:rPr>
      </w:r>
      <w:r>
        <w:rPr>
          <w:rFonts w:ascii="Times New Roman" w:hAnsi="Times New Roman" w:cs="Times New Roman"/>
          <w:bCs/>
          <w:sz w:val="28"/>
          <w:szCs w:val="28"/>
        </w:rPr>
      </w: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9"/>
        <w:gridCol w:w="2835"/>
        <w:gridCol w:w="2552"/>
      </w:tblGrid>
      <w:tr>
        <w:trPr/>
        <w:tc>
          <w:tcPr>
            <w:tcW w:w="3969" w:type="dxa"/>
            <w:vAlign w:val="center"/>
            <w:textDirection w:val="lrTb"/>
            <w:noWrap w:val="false"/>
          </w:tcPr>
          <w:p>
            <w:pPr>
              <w:pStyle w:val="1652"/>
              <w:numPr>
                <w:ilvl w:val="0"/>
                <w:numId w:val="17"/>
              </w:numPr>
              <w:ind w:left="0" w:firstLine="0"/>
              <w:jc w:val="center"/>
              <w:spacing w:line="240" w:lineRule="auto"/>
              <w:rPr>
                <w:rFonts w:ascii="PT Astra Serif" w:hAnsi="PT Astra Serif"/>
                <w:b/>
                <w:sz w:val="24"/>
                <w:szCs w:val="24"/>
              </w:rPr>
            </w:pPr>
            <w:r>
              <w:rPr>
                <w:rFonts w:ascii="PT Astra Serif" w:hAnsi="PT Astra Serif"/>
                <w:b/>
                <w:sz w:val="24"/>
                <w:szCs w:val="24"/>
              </w:rPr>
              <w:t xml:space="preserve">Вид наркотического средства</w:t>
            </w:r>
            <w:r>
              <w:rPr>
                <w:rFonts w:ascii="PT Astra Serif" w:hAnsi="PT Astra Serif"/>
                <w:b/>
                <w:sz w:val="24"/>
                <w:szCs w:val="24"/>
              </w:rPr>
            </w:r>
            <w:r>
              <w:rPr>
                <w:rFonts w:ascii="PT Astra Serif" w:hAnsi="PT Astra Serif"/>
                <w:b/>
                <w:sz w:val="24"/>
                <w:szCs w:val="24"/>
              </w:rPr>
            </w:r>
          </w:p>
        </w:tc>
        <w:tc>
          <w:tcPr>
            <w:tcW w:w="2835" w:type="dxa"/>
            <w:vAlign w:val="center"/>
            <w:textDirection w:val="lrTb"/>
            <w:noWrap w:val="false"/>
          </w:tcPr>
          <w:p>
            <w:pPr>
              <w:ind w:firstLine="0"/>
              <w:jc w:val="center"/>
              <w:spacing w:line="240" w:lineRule="auto"/>
              <w:rPr>
                <w:rFonts w:ascii="PT Astra Serif" w:hAnsi="PT Astra Serif"/>
                <w:b/>
                <w:sz w:val="24"/>
                <w:szCs w:val="24"/>
              </w:rPr>
            </w:pPr>
            <w:r>
              <w:rPr>
                <w:rFonts w:ascii="PT Astra Serif" w:hAnsi="PT Astra Serif"/>
                <w:b/>
                <w:sz w:val="24"/>
                <w:szCs w:val="24"/>
              </w:rPr>
              <w:t xml:space="preserve">Цена</w:t>
            </w:r>
            <w:r>
              <w:rPr>
                <w:rFonts w:ascii="PT Astra Serif" w:hAnsi="PT Astra Serif"/>
                <w:b/>
                <w:sz w:val="24"/>
                <w:szCs w:val="24"/>
              </w:rPr>
            </w:r>
            <w:r>
              <w:rPr>
                <w:rFonts w:ascii="PT Astra Serif" w:hAnsi="PT Astra Serif"/>
                <w:b/>
                <w:sz w:val="24"/>
                <w:szCs w:val="24"/>
              </w:rPr>
            </w:r>
          </w:p>
          <w:p>
            <w:pPr>
              <w:ind w:firstLine="0"/>
              <w:jc w:val="center"/>
              <w:spacing w:line="240" w:lineRule="auto"/>
              <w:rPr>
                <w:rFonts w:ascii="PT Astra Serif" w:hAnsi="PT Astra Serif"/>
                <w:b/>
                <w:sz w:val="24"/>
                <w:szCs w:val="24"/>
              </w:rPr>
            </w:pPr>
            <w:r>
              <w:rPr>
                <w:rFonts w:ascii="PT Astra Serif" w:hAnsi="PT Astra Serif"/>
                <w:b/>
                <w:sz w:val="24"/>
                <w:szCs w:val="24"/>
              </w:rPr>
              <w:t xml:space="preserve">за 1 грамм (руб.)</w:t>
            </w:r>
            <w:r>
              <w:rPr>
                <w:rFonts w:ascii="PT Astra Serif" w:hAnsi="PT Astra Serif"/>
                <w:b/>
                <w:sz w:val="24"/>
                <w:szCs w:val="24"/>
              </w:rPr>
            </w:r>
            <w:r>
              <w:rPr>
                <w:rFonts w:ascii="PT Astra Serif" w:hAnsi="PT Astra Serif"/>
                <w:b/>
                <w:sz w:val="24"/>
                <w:szCs w:val="24"/>
              </w:rPr>
            </w:r>
          </w:p>
        </w:tc>
        <w:tc>
          <w:tcPr>
            <w:tcW w:w="2552" w:type="dxa"/>
            <w:vAlign w:val="center"/>
            <w:textDirection w:val="lrTb"/>
            <w:noWrap w:val="false"/>
          </w:tcPr>
          <w:p>
            <w:pPr>
              <w:ind w:firstLine="0"/>
              <w:jc w:val="center"/>
              <w:spacing w:line="240" w:lineRule="auto"/>
              <w:rPr>
                <w:rFonts w:ascii="PT Astra Serif" w:hAnsi="PT Astra Serif"/>
                <w:b/>
                <w:sz w:val="24"/>
                <w:szCs w:val="24"/>
              </w:rPr>
            </w:pPr>
            <w:r>
              <w:rPr>
                <w:rFonts w:ascii="PT Astra Serif" w:hAnsi="PT Astra Serif"/>
                <w:b/>
                <w:sz w:val="24"/>
                <w:szCs w:val="24"/>
              </w:rPr>
              <w:t xml:space="preserve">Цена </w:t>
            </w:r>
            <w:r>
              <w:rPr>
                <w:rFonts w:ascii="PT Astra Serif" w:hAnsi="PT Astra Serif"/>
                <w:b/>
                <w:sz w:val="24"/>
                <w:szCs w:val="24"/>
              </w:rPr>
            </w:r>
            <w:r>
              <w:rPr>
                <w:rFonts w:ascii="PT Astra Serif" w:hAnsi="PT Astra Serif"/>
                <w:b/>
                <w:sz w:val="24"/>
                <w:szCs w:val="24"/>
              </w:rPr>
            </w:r>
          </w:p>
          <w:p>
            <w:pPr>
              <w:ind w:firstLine="0"/>
              <w:jc w:val="center"/>
              <w:spacing w:line="240" w:lineRule="auto"/>
              <w:rPr>
                <w:rFonts w:ascii="PT Astra Serif" w:hAnsi="PT Astra Serif"/>
                <w:b/>
                <w:sz w:val="24"/>
                <w:szCs w:val="24"/>
              </w:rPr>
            </w:pPr>
            <w:r>
              <w:rPr>
                <w:rFonts w:ascii="PT Astra Serif" w:hAnsi="PT Astra Serif"/>
                <w:b/>
                <w:sz w:val="24"/>
                <w:szCs w:val="24"/>
              </w:rPr>
              <w:t xml:space="preserve">за 100 грамм (руб.)</w:t>
            </w:r>
            <w:r>
              <w:rPr>
                <w:rFonts w:ascii="PT Astra Serif" w:hAnsi="PT Astra Serif"/>
                <w:b/>
                <w:sz w:val="24"/>
                <w:szCs w:val="24"/>
              </w:rPr>
            </w:r>
            <w:r>
              <w:rPr>
                <w:rFonts w:ascii="PT Astra Serif" w:hAnsi="PT Astra Serif"/>
                <w:b/>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Каннабис</w:t>
            </w:r>
            <w:r>
              <w:rPr>
                <w:rFonts w:ascii="PT Astra Serif" w:hAnsi="PT Astra Serif"/>
                <w:sz w:val="24"/>
                <w:szCs w:val="24"/>
              </w:rPr>
              <w:t xml:space="preserve"> </w:t>
            </w:r>
            <w:r>
              <w:rPr>
                <w:rFonts w:ascii="PT Astra Serif" w:hAnsi="PT Astra Serif"/>
                <w:sz w:val="24"/>
                <w:szCs w:val="24"/>
              </w:rPr>
              <w:t xml:space="preserve">(марихуана)</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3500-4500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130 000</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Гашиш</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3000-4000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150 000</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Гашишное масло</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Ацетилированный опий</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Героин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7000-9000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Кокаин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13 000 - 15 000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Карфентанил</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N-метилэфедрон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3500-5800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150 000</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Мефедрон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3000-4500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180 000</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Метадон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8500-9000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Амфетамин</w:t>
            </w:r>
            <w:r>
              <w:rPr>
                <w:rFonts w:ascii="PT Astra Serif" w:hAnsi="PT Astra Serif"/>
                <w:sz w:val="24"/>
                <w:szCs w:val="24"/>
              </w:rPr>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3800-4300</w:t>
            </w:r>
            <w:r>
              <w:rPr>
                <w:rFonts w:ascii="PT Astra Serif" w:hAnsi="PT Astra Serif"/>
                <w:sz w:val="24"/>
                <w:szCs w:val="24"/>
              </w:rPr>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90 000</w:t>
            </w:r>
            <w:r>
              <w:rPr>
                <w:rFonts w:ascii="PT Astra Serif" w:hAnsi="PT Astra Serif"/>
                <w:sz w:val="24"/>
                <w:szCs w:val="24"/>
              </w:rPr>
            </w:r>
            <w:r>
              <w:rPr>
                <w:rFonts w:ascii="PT Astra Serif" w:hAnsi="PT Astra Serif"/>
                <w:sz w:val="24"/>
                <w:szCs w:val="24"/>
              </w:rPr>
            </w:r>
          </w:p>
        </w:tc>
      </w:tr>
    </w:tbl>
    <w:p>
      <w:pPr>
        <w:ind w:firstLine="851"/>
        <w:rPr>
          <w:rFonts w:ascii="PT Astra Serif" w:hAnsi="PT Astra Serif"/>
          <w:color w:val="ff0000"/>
          <w:sz w:val="6"/>
          <w:szCs w:val="6"/>
        </w:rPr>
      </w:pPr>
      <w:r>
        <w:rPr>
          <w:rFonts w:ascii="PT Astra Serif" w:hAnsi="PT Astra Serif"/>
          <w:color w:val="ff0000"/>
          <w:sz w:val="6"/>
          <w:szCs w:val="6"/>
        </w:rPr>
      </w:r>
      <w:r>
        <w:rPr>
          <w:rFonts w:ascii="PT Astra Serif" w:hAnsi="PT Astra Serif"/>
          <w:color w:val="ff0000"/>
          <w:sz w:val="6"/>
          <w:szCs w:val="6"/>
        </w:rPr>
      </w:r>
      <w:r>
        <w:rPr>
          <w:rFonts w:ascii="PT Astra Serif" w:hAnsi="PT Astra Serif"/>
          <w:color w:val="ff0000"/>
          <w:sz w:val="6"/>
          <w:szCs w:val="6"/>
        </w:rPr>
      </w:r>
    </w:p>
    <w:p>
      <w:pPr>
        <w:ind w:firstLine="709"/>
        <w:spacing w:line="276" w:lineRule="auto"/>
        <w:rPr>
          <w:color w:val="ff0000"/>
        </w:rPr>
      </w:pPr>
      <w:r>
        <w:rPr>
          <w:color w:val="ff0000"/>
        </w:rPr>
      </w:r>
      <w:r>
        <w:rPr>
          <w:color w:val="ff0000"/>
        </w:rPr>
      </w:r>
      <w:r>
        <w:rPr>
          <w:color w:val="ff0000"/>
        </w:rPr>
      </w:r>
    </w:p>
    <w:p>
      <w:pPr>
        <w:ind w:firstLine="709"/>
        <w:spacing w:line="276" w:lineRule="auto"/>
        <w:rPr>
          <w:lang w:eastAsia="ar-SA"/>
        </w:rPr>
      </w:pPr>
      <w:r>
        <w:rPr>
          <w:lang w:eastAsia="ar-SA"/>
        </w:rPr>
        <w:t xml:space="preserve">На территории автономного округа</w:t>
      </w:r>
      <w:r>
        <w:rPr>
          <w:lang w:eastAsia="ar-SA"/>
        </w:rPr>
        <w:t xml:space="preserve"> по состоянию на 01.01.2025</w:t>
      </w:r>
      <w:r>
        <w:rPr>
          <w:lang w:eastAsia="ar-SA"/>
        </w:rPr>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r>
        <w:rPr>
          <w:lang w:eastAsia="ar-SA"/>
        </w:rPr>
      </w:r>
      <w:r>
        <w:rPr>
          <w:lang w:eastAsia="ar-SA"/>
        </w:rPr>
      </w:r>
    </w:p>
    <w:p>
      <w:pPr>
        <w:ind w:firstLine="709"/>
        <w:spacing w:line="276" w:lineRule="auto"/>
        <w:rPr>
          <w:lang w:eastAsia="ar-SA"/>
        </w:rPr>
      </w:pPr>
      <w:r>
        <w:rPr>
          <w:lang w:eastAsia="ar-SA"/>
        </w:rPr>
        <w:t xml:space="preserve">86 юридических лиц, осуществляющих деятельность, связанную с оборотом наркотических средств и психотропных веществ (ЛПУ – 65, аптечные предприятия – 21);</w:t>
      </w:r>
      <w:r>
        <w:rPr>
          <w:lang w:eastAsia="ar-SA"/>
        </w:rPr>
      </w:r>
      <w:r>
        <w:rPr>
          <w:lang w:eastAsia="ar-SA"/>
        </w:rPr>
      </w:r>
    </w:p>
    <w:p>
      <w:pPr>
        <w:ind w:firstLine="709"/>
        <w:spacing w:line="276" w:lineRule="auto"/>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r>
        <w:rPr>
          <w:lang w:eastAsia="ar-SA"/>
        </w:rPr>
      </w:r>
      <w:r>
        <w:rPr>
          <w:lang w:eastAsia="ar-SA"/>
        </w:rPr>
      </w:r>
    </w:p>
    <w:p>
      <w:pPr>
        <w:ind w:firstLine="709"/>
        <w:spacing w:line="276" w:lineRule="auto"/>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(п</w:t>
      </w:r>
      <w:r>
        <w:rPr>
          <w:lang w:eastAsia="ar-SA"/>
        </w:rPr>
        <w:t xml:space="preserve">г</w:t>
      </w:r>
      <w:r>
        <w:rPr>
          <w:lang w:eastAsia="ar-SA"/>
        </w:rPr>
        <w:t xml:space="preserve">т</w:t>
      </w:r>
      <w:r>
        <w:rPr>
          <w:lang w:eastAsia="ar-SA"/>
        </w:rPr>
        <w:t xml:space="preserve">.</w:t>
      </w:r>
      <w:r>
        <w:rPr>
          <w:lang w:eastAsia="ar-SA"/>
        </w:rPr>
        <w:t xml:space="preserve"> </w:t>
      </w:r>
      <w:r>
        <w:rPr>
          <w:lang w:eastAsia="ar-SA"/>
        </w:rPr>
        <w:t xml:space="preserve">Белый Яр, Сургутский район).</w:t>
      </w:r>
      <w:r>
        <w:rPr>
          <w:lang w:eastAsia="ar-SA"/>
        </w:rPr>
        <w:t xml:space="preserve">  Производство наркотических сре</w:t>
      </w:r>
      <w:r>
        <w:rPr>
          <w:lang w:eastAsia="ar-SA"/>
        </w:rPr>
        <w:t xml:space="preserve">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w:t>
      </w:r>
      <w:r>
        <w:rPr>
          <w:lang w:eastAsia="ar-SA"/>
        </w:rPr>
        <w:t xml:space="preserve">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r>
        <w:rPr>
          <w:lang w:eastAsia="ar-SA"/>
        </w:rPr>
      </w:r>
      <w:r>
        <w:rPr>
          <w:lang w:eastAsia="ar-SA"/>
        </w:rPr>
      </w:r>
    </w:p>
    <w:p>
      <w:pPr>
        <w:ind w:firstLine="709"/>
        <w:spacing w:line="276" w:lineRule="auto"/>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w:t>
      </w:r>
      <w:r>
        <w:rPr>
          <w:lang w:eastAsia="ar-SA"/>
        </w:rPr>
        <w:t xml:space="preserve">психотропных веществ, внесенных в Таблицу I Списка IV Перечня не зарегистрировано</w:t>
      </w:r>
      <w:r>
        <w:rPr>
          <w:lang w:eastAsia="ar-SA"/>
        </w:rPr>
        <w:t xml:space="preserve">.</w:t>
      </w:r>
      <w:r>
        <w:rPr>
          <w:lang w:eastAsia="ar-SA"/>
        </w:rPr>
      </w:r>
      <w:r>
        <w:rPr>
          <w:lang w:eastAsia="ar-SA"/>
        </w:rPr>
      </w:r>
    </w:p>
    <w:p>
      <w:pPr>
        <w:ind w:firstLine="709"/>
        <w:spacing w:line="276" w:lineRule="auto"/>
        <w:rPr>
          <w:lang w:eastAsia="ar-SA"/>
        </w:rPr>
      </w:pPr>
      <w:r>
        <w:rPr>
          <w:lang w:eastAsia="ar-SA"/>
        </w:rPr>
        <w:t xml:space="preserve">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 Югры , отсутствуют.</w:t>
      </w:r>
      <w:r>
        <w:rPr>
          <w:lang w:eastAsia="ar-SA"/>
        </w:rPr>
      </w:r>
      <w:r>
        <w:rPr>
          <w:lang w:eastAsia="ar-SA"/>
        </w:rPr>
      </w:r>
    </w:p>
    <w:p>
      <w:pPr>
        <w:ind w:firstLine="709"/>
        <w:spacing w:line="276" w:lineRule="auto"/>
      </w:pPr>
      <w:r>
        <w:t xml:space="preserve">Криминогенная обстановка</w:t>
      </w:r>
      <w:r>
        <w:t xml:space="preserve"> по линии незаконного оборота наркотиков в Югре </w:t>
      </w:r>
      <w:r>
        <w:t xml:space="preserve">в</w:t>
      </w:r>
      <w:r>
        <w:t xml:space="preserve"> 2024 год</w:t>
      </w:r>
      <w:r>
        <w:t xml:space="preserve">у</w:t>
      </w:r>
      <w:r>
        <w:t xml:space="preserve"> характеризуется ростом</w:t>
      </w:r>
      <w:r>
        <w:t xml:space="preserve"> на 7,8%</w:t>
      </w:r>
      <w:r>
        <w:t xml:space="preserve"> количества зарегистрированных наркопреступлений </w:t>
      </w:r>
      <w:r>
        <w:t xml:space="preserve">(</w:t>
      </w:r>
      <w:r>
        <w:t xml:space="preserve">2708</w:t>
      </w:r>
      <w:r>
        <w:t xml:space="preserve">, </w:t>
      </w:r>
      <w:r>
        <w:t xml:space="preserve">АППГ</w:t>
      </w:r>
      <w:r>
        <w:t xml:space="preserve"> – 2511), в том числе тяжких и особо тяжких преступлений 2284 (</w:t>
      </w:r>
      <w:r>
        <w:t xml:space="preserve">увеличение на </w:t>
      </w:r>
      <w:r>
        <w:t xml:space="preserve">5,7%, </w:t>
      </w:r>
      <w:r>
        <w:t xml:space="preserve">АППГ</w:t>
      </w:r>
      <w:r>
        <w:t xml:space="preserve"> – 2160).</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ind w:firstLine="709"/>
        <w:spacing w:line="240" w:lineRule="auto"/>
        <w:rPr>
          <w:i/>
          <w:sz w:val="24"/>
          <w:szCs w:val="24"/>
        </w:rPr>
      </w:pPr>
      <w:r>
        <w:rPr>
          <w:i/>
          <w:sz w:val="24"/>
          <w:szCs w:val="24"/>
        </w:rPr>
        <w:t xml:space="preserve">По России число </w:t>
      </w:r>
      <w:r>
        <w:rPr>
          <w:i/>
          <w:sz w:val="24"/>
          <w:szCs w:val="24"/>
        </w:rPr>
        <w:t xml:space="preserve">зарегистрированных</w:t>
      </w:r>
      <w:r>
        <w:rPr>
          <w:i/>
          <w:sz w:val="24"/>
          <w:szCs w:val="24"/>
        </w:rPr>
        <w:t xml:space="preserve"> наркопреступлений увеличилось на 3,7%, УрФО – увеличение на 2,1%. </w:t>
      </w:r>
      <w:r>
        <w:rPr>
          <w:i/>
          <w:sz w:val="24"/>
          <w:szCs w:val="24"/>
        </w:rPr>
      </w:r>
      <w:r>
        <w:rPr>
          <w:i/>
          <w:sz w:val="24"/>
          <w:szCs w:val="24"/>
        </w:rPr>
      </w:r>
    </w:p>
    <w:p>
      <w:pPr>
        <w:ind w:firstLine="709"/>
        <w:spacing w:line="240" w:lineRule="auto"/>
        <w:rPr>
          <w:i/>
          <w:sz w:val="24"/>
          <w:szCs w:val="24"/>
        </w:rPr>
      </w:pPr>
      <w:r>
        <w:rPr>
          <w:i/>
          <w:sz w:val="24"/>
          <w:szCs w:val="24"/>
        </w:rPr>
        <w:t xml:space="preserve">Регистрация </w:t>
      </w:r>
      <w:r>
        <w:rPr>
          <w:i/>
          <w:sz w:val="24"/>
          <w:szCs w:val="24"/>
        </w:rPr>
        <w:t xml:space="preserve">тяжких и особо тяжких нарко</w:t>
      </w:r>
      <w:r>
        <w:rPr>
          <w:i/>
          <w:sz w:val="24"/>
          <w:szCs w:val="24"/>
        </w:rPr>
        <w:t xml:space="preserve">преступлений по России увеличилось на 6%, по УрФО – увеличение на 3,1%.</w:t>
      </w:r>
      <w:r>
        <w:rPr>
          <w:i/>
          <w:sz w:val="24"/>
          <w:szCs w:val="24"/>
        </w:rPr>
      </w:r>
      <w:r>
        <w:rPr>
          <w:i/>
          <w:sz w:val="24"/>
          <w:szCs w:val="24"/>
        </w:rPr>
      </w:r>
    </w:p>
    <w:p>
      <w:pPr>
        <w:ind w:firstLine="709"/>
        <w:spacing w:line="276" w:lineRule="auto"/>
        <w:pBdr>
          <w:bottom w:val="single" w:color="FFFFFF" w:sz="4" w:space="0"/>
        </w:pBdr>
      </w:pPr>
      <w:r>
        <w:t xml:space="preserve">Произошло сниже</w:t>
      </w:r>
      <w:r>
        <w:t xml:space="preserve">ние количества расследованных и направленных в суд уголовных дел, тем самым снижена эффективность работы по раскрытию наркопреступлений в целом. Окончено предварительное расследование по 1470 наркопреступлениям (</w:t>
      </w:r>
      <w:r>
        <w:t xml:space="preserve">снижение на </w:t>
      </w:r>
      <w:r>
        <w:t xml:space="preserve">11,4%, </w:t>
      </w:r>
      <w:r>
        <w:t xml:space="preserve">АППГ</w:t>
      </w:r>
      <w:r>
        <w:t xml:space="preserve"> – 1659), в том числе категории </w:t>
      </w:r>
      <w:r>
        <w:t xml:space="preserve">тяжких</w:t>
      </w:r>
      <w:r>
        <w:t xml:space="preserve"> и особо тяжких 1140 (</w:t>
      </w:r>
      <w:r>
        <w:t xml:space="preserve">снижение на </w:t>
      </w:r>
      <w:r>
        <w:t xml:space="preserve">12%, </w:t>
      </w:r>
      <w:r>
        <w:t xml:space="preserve">АППГ</w:t>
      </w:r>
      <w:r>
        <w:t xml:space="preserve"> – 1296). При том, что количество приостановленных уголовных дел кратно возросло по сравнению с уровнем </w:t>
      </w:r>
      <w:r>
        <w:t xml:space="preserve">2023</w:t>
      </w:r>
      <w:r>
        <w:t xml:space="preserve"> года и составило 1204 преступления (</w:t>
      </w:r>
      <w:r>
        <w:t xml:space="preserve">увеличение на </w:t>
      </w:r>
      <w:r>
        <w:t xml:space="preserve">50,9%, </w:t>
      </w:r>
      <w:r>
        <w:t xml:space="preserve">АППГ</w:t>
      </w:r>
      <w:r>
        <w:t xml:space="preserve"> – 798), в том числе категории тяжких и особо тяжких 1159 (+47,6%, </w:t>
      </w:r>
      <w:r>
        <w:t xml:space="preserve">АППГ</w:t>
      </w:r>
      <w:r>
        <w:t xml:space="preserve"> – 785). В связи со сн</w:t>
      </w:r>
      <w:r>
        <w:t xml:space="preserve">ижением количества расследованных преступлений, а также ростом приостановленных, снизилась и их общая раскрываемость, и составила 55% (</w:t>
      </w:r>
      <w:r>
        <w:t xml:space="preserve">АППГ -</w:t>
      </w:r>
      <w:r>
        <w:t xml:space="preserve"> 67,5%), в том числе по тяжким и особо тяжким составам преступлений составила 49,6% (</w:t>
      </w:r>
      <w:r>
        <w:t xml:space="preserve">АППГ</w:t>
      </w:r>
      <w:r>
        <w:t xml:space="preserve"> – 62,3%).</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ind w:firstLine="709"/>
        <w:spacing w:line="240" w:lineRule="auto"/>
        <w:rPr>
          <w:i/>
          <w:sz w:val="24"/>
          <w:szCs w:val="24"/>
        </w:rPr>
      </w:pPr>
      <w:r>
        <w:rPr>
          <w:i/>
          <w:sz w:val="24"/>
          <w:szCs w:val="24"/>
        </w:rPr>
        <w:t xml:space="preserve">По России число </w:t>
      </w:r>
      <w:r>
        <w:rPr>
          <w:i/>
          <w:sz w:val="24"/>
          <w:szCs w:val="24"/>
        </w:rPr>
        <w:t xml:space="preserve">оконченных</w:t>
      </w:r>
      <w:r>
        <w:rPr>
          <w:i/>
          <w:sz w:val="24"/>
          <w:szCs w:val="24"/>
        </w:rPr>
        <w:t xml:space="preserve"> расследованием наркопреступлений сократилось на 1,5%, раскрываемость составила 63,2% (+0,5%, 62,7%);</w:t>
      </w:r>
      <w:r>
        <w:rPr>
          <w:i/>
          <w:sz w:val="24"/>
          <w:szCs w:val="24"/>
        </w:rPr>
      </w:r>
      <w:r>
        <w:rPr>
          <w:i/>
          <w:sz w:val="24"/>
          <w:szCs w:val="24"/>
        </w:rPr>
      </w:r>
    </w:p>
    <w:p>
      <w:pPr>
        <w:ind w:firstLine="709"/>
        <w:spacing w:line="240" w:lineRule="auto"/>
        <w:rPr>
          <w:i/>
          <w:sz w:val="24"/>
          <w:szCs w:val="24"/>
        </w:rPr>
      </w:pPr>
      <w:r>
        <w:rPr>
          <w:i/>
          <w:sz w:val="24"/>
          <w:szCs w:val="24"/>
        </w:rPr>
        <w:t xml:space="preserve">По УрФО число </w:t>
      </w:r>
      <w:r>
        <w:rPr>
          <w:i/>
          <w:sz w:val="24"/>
          <w:szCs w:val="24"/>
        </w:rPr>
        <w:t xml:space="preserve">оконченных</w:t>
      </w:r>
      <w:r>
        <w:rPr>
          <w:i/>
          <w:sz w:val="24"/>
          <w:szCs w:val="24"/>
        </w:rPr>
        <w:t xml:space="preserve"> расследованием наркопреступлений уменьшилось на 0,5%, раскрываемость составила 62,9% (+0,8%, 62,1%).</w:t>
      </w:r>
      <w:r>
        <w:rPr>
          <w:i/>
          <w:sz w:val="24"/>
          <w:szCs w:val="24"/>
        </w:rPr>
      </w:r>
      <w:r>
        <w:rPr>
          <w:i/>
          <w:sz w:val="24"/>
          <w:szCs w:val="24"/>
        </w:rPr>
      </w:r>
    </w:p>
    <w:p>
      <w:pPr>
        <w:ind w:firstLine="709"/>
        <w:spacing w:line="276" w:lineRule="auto"/>
      </w:pPr>
      <w:r>
        <w:t xml:space="preserve">Как и прежде основную массу регистрируемых преступлений по линии НОН составляют сбыты наркотических средств, которых выявлено 2039 (</w:t>
      </w:r>
      <w:r>
        <w:t xml:space="preserve">увеличение на </w:t>
      </w:r>
      <w:r>
        <w:t xml:space="preserve">7,6%, </w:t>
      </w:r>
      <w:r>
        <w:t xml:space="preserve">АППГ - </w:t>
      </w:r>
      <w:r>
        <w:t xml:space="preserve">1895) или 75,3% от общего количества зарегистрированных. </w:t>
      </w:r>
      <w:r>
        <w:t xml:space="preserve">Окончены предварительным расследованием 928 преступлений данной категории (</w:t>
      </w:r>
      <w:r>
        <w:t xml:space="preserve">снижение на </w:t>
      </w:r>
      <w:r>
        <w:t xml:space="preserve">12,9%, </w:t>
      </w:r>
      <w:r>
        <w:t xml:space="preserve">АППГ - </w:t>
      </w:r>
      <w:r>
        <w:t xml:space="preserve">1065), при этом возросло количество приостановленных уголовных дел связанных со сбытом на 48,9% (с 771 до 1148), тем самым </w:t>
      </w:r>
      <w:r>
        <w:t xml:space="preserve">допущено снижение удельного веса расследованных сбытов, который составил 44,7% (</w:t>
      </w:r>
      <w:r>
        <w:t xml:space="preserve">снижение на </w:t>
      </w:r>
      <w:r>
        <w:t xml:space="preserve">13,3%, 58%).</w:t>
      </w:r>
      <w:r/>
    </w:p>
    <w:p>
      <w:pPr>
        <w:ind w:firstLine="709"/>
        <w:spacing w:line="276" w:lineRule="auto"/>
      </w:pPr>
      <w:r>
        <w:t xml:space="preserve">Основным способом распространения наркотиков на территории Югры остается </w:t>
      </w:r>
      <w:r>
        <w:t xml:space="preserve">бесконтактный</w:t>
      </w:r>
      <w:r>
        <w:t xml:space="preserve">, с использованием современных информационных технологий, электронных платежных систем и криптовалют, которые являются преобладающим платежным инструментом и активно используются на различных этапах незаконного оборота наркотиков.</w:t>
      </w:r>
      <w:r/>
    </w:p>
    <w:p>
      <w:pPr>
        <w:ind w:firstLine="709"/>
        <w:spacing w:line="276" w:lineRule="auto"/>
      </w:pPr>
      <w:r>
        <w:t xml:space="preserve">В </w:t>
      </w:r>
      <w:r>
        <w:t xml:space="preserve">2024</w:t>
      </w:r>
      <w:r>
        <w:t xml:space="preserve"> году оперативная обстановка в сфере незаконного оборота наркотиков в округе не претерпела существенных изменений. Основной п</w:t>
      </w:r>
      <w:r>
        <w:t xml:space="preserve">лощадкой сбыта остаётся мессенджер «Telegram», а также маркетплейсы, расположенные на площадках под названиями «OMG!OMG!», «BlackSprut», «Mega», «Кракен» и др. Основным способом сбыта остается «бесконтактный», посредством организации «тайников - закладок».</w:t>
      </w:r>
      <w:r/>
    </w:p>
    <w:p>
      <w:pPr>
        <w:ind w:firstLine="709"/>
        <w:spacing w:line="276" w:lineRule="auto"/>
      </w:pPr>
      <w:r>
        <w:t xml:space="preserve">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p>
    <w:p>
      <w:pPr>
        <w:ind w:firstLine="709"/>
        <w:spacing w:line="276" w:lineRule="auto"/>
      </w:pPr>
      <w:r>
        <w:t xml:space="preserve">В течение 2024 года</w:t>
      </w:r>
      <w:r>
        <w:t xml:space="preserve"> зарегистрировано 1950 наркопреступлени</w:t>
      </w:r>
      <w:r>
        <w:t xml:space="preserve">й</w:t>
      </w:r>
      <w:r>
        <w:t xml:space="preserve"> указанной категории (</w:t>
      </w:r>
      <w:r>
        <w:t xml:space="preserve">увеличение на </w:t>
      </w:r>
      <w:r>
        <w:t xml:space="preserve">0,8%, 1935), что составляет 72% (</w:t>
      </w:r>
      <w:r>
        <w:t xml:space="preserve">снижение на </w:t>
      </w:r>
      <w:r>
        <w:t xml:space="preserve">5,1%, </w:t>
      </w:r>
      <w:r>
        <w:t xml:space="preserve">АППГ</w:t>
      </w:r>
      <w:r>
        <w:t xml:space="preserve"> – 77,1%) от всех зарегистрированных преступлений в сфере НОН, в том числе 1491 (</w:t>
      </w:r>
      <w:r>
        <w:t xml:space="preserve">увеличение на </w:t>
      </w:r>
      <w:r>
        <w:t xml:space="preserve">1,7%, </w:t>
      </w:r>
      <w:r>
        <w:t xml:space="preserve">АППГ</w:t>
      </w:r>
      <w:r>
        <w:t xml:space="preserve"> – 1466) преступление, связанное со сбытом, что составляе</w:t>
      </w:r>
      <w:r>
        <w:t xml:space="preserve">т 73,1% (</w:t>
      </w:r>
      <w:r>
        <w:t xml:space="preserve">снижение на </w:t>
      </w:r>
      <w:r>
        <w:t xml:space="preserve">4,3%, </w:t>
      </w:r>
      <w:r>
        <w:t xml:space="preserve">АППГ</w:t>
      </w:r>
      <w:r>
        <w:t xml:space="preserve"> – 77,4%) от всех сбытовых преступлений. Окончено предварительным расследованием 1284 преступлений с использованием информационно-телекоммуникационных технологий (</w:t>
      </w:r>
      <w:r>
        <w:t xml:space="preserve">снижение на </w:t>
      </w:r>
      <w:r>
        <w:t xml:space="preserve">14,1%, </w:t>
      </w:r>
      <w:r>
        <w:t xml:space="preserve">АППГ</w:t>
      </w:r>
      <w:r>
        <w:t xml:space="preserve"> – 1494), раскрываемость составила 67,4% (</w:t>
      </w:r>
      <w:r>
        <w:t xml:space="preserve">снижение на </w:t>
      </w:r>
      <w:r>
        <w:t xml:space="preserve">7,6%, </w:t>
      </w:r>
      <w:r>
        <w:t xml:space="preserve">АППГ</w:t>
      </w:r>
      <w:r>
        <w:t xml:space="preserve"> – 75%).</w:t>
      </w:r>
      <w:r/>
    </w:p>
    <w:p>
      <w:pPr>
        <w:ind w:firstLine="709"/>
        <w:spacing w:line="276" w:lineRule="auto"/>
      </w:pPr>
      <w:r>
        <w:t xml:space="preserve">Одним из наиболее социально-опасных проявлени</w:t>
      </w:r>
      <w:r>
        <w:t xml:space="preserve">й остаются преступные деяния, связанные с вовлечением в потребление наркотиков и содержанием наркопритонов. В течение 2024 года выявлено 16 преступлений по ст. 230 УК РФ (</w:t>
      </w:r>
      <w:r>
        <w:t xml:space="preserve">АППГ</w:t>
      </w:r>
      <w:r>
        <w:t xml:space="preserve"> – 16), окончено предварительным расследованием и направлено в суд 7 (</w:t>
      </w:r>
      <w:r>
        <w:t xml:space="preserve">АППГ</w:t>
      </w:r>
      <w:r>
        <w:t xml:space="preserve"> – 15).</w:t>
      </w:r>
      <w:r/>
    </w:p>
    <w:p>
      <w:pPr>
        <w:ind w:firstLine="709"/>
        <w:spacing w:line="276" w:lineRule="auto"/>
      </w:pPr>
      <w:r>
        <w:t xml:space="preserve">Незначительно снижена эффективность работы по документированию фактов предоставления жилища для потребления наркотиков, возбуждено 6 (</w:t>
      </w:r>
      <w:r>
        <w:t xml:space="preserve">АППГ</w:t>
      </w:r>
      <w:r>
        <w:t xml:space="preserve"> – 10), уголовных дел по преступлениям, предусмотренным ст. 232 УК РФ, направлено в суд 5 уголовных дел (</w:t>
      </w:r>
      <w:r>
        <w:t xml:space="preserve">АППГ</w:t>
      </w:r>
      <w:r>
        <w:t xml:space="preserve"> – 12).</w:t>
      </w:r>
      <w:r/>
    </w:p>
    <w:p>
      <w:pPr>
        <w:ind w:firstLine="709"/>
        <w:spacing w:line="276" w:lineRule="auto"/>
      </w:pPr>
      <w:r>
        <w:t xml:space="preserve">В рамках деятельности, направленной на противодействие экономическим основам наркобизнеса выявлено 14 преступлений (</w:t>
      </w:r>
      <w:r>
        <w:t xml:space="preserve">АППГ</w:t>
      </w:r>
      <w:r>
        <w:t xml:space="preserve"> – 17), связанных с ле</w:t>
      </w:r>
      <w:r>
        <w:t xml:space="preserve">гализацией денежных средств, закончено и направлено в суд с обвинительным заключением 10 преступлений (</w:t>
      </w:r>
      <w:r>
        <w:t xml:space="preserve">АППГ</w:t>
      </w:r>
      <w:r>
        <w:t xml:space="preserve"> – 19). Сумма легализованных денежных средств по оконченным преступлениям составила 2 млн. 139 тыс. рублей (</w:t>
      </w:r>
      <w:r>
        <w:t xml:space="preserve">АППГ</w:t>
      </w:r>
      <w:r>
        <w:t xml:space="preserve"> – 6 млн. 945 тыс. рублей). В рамках </w:t>
      </w:r>
      <w:r>
        <w:t xml:space="preserve">расследования уголовных дел по данному виду преступлений наложен арест на имущество на сумму 9 млн. 654 тыс. рублей (</w:t>
      </w:r>
      <w:r>
        <w:t xml:space="preserve">АППГ</w:t>
      </w:r>
      <w:r>
        <w:t xml:space="preserve"> – 3 млн. 937 тыс. рублей).</w:t>
      </w:r>
      <w:r/>
    </w:p>
    <w:p>
      <w:pPr>
        <w:ind w:firstLine="709"/>
        <w:spacing w:line="276" w:lineRule="auto"/>
      </w:pPr>
      <w:r>
        <w:t xml:space="preserve">Анализ оперативной обстановки и результаты деятельности свидетельствуют о том, что основной объем незаконного оборота наркоти</w:t>
      </w:r>
      <w:r>
        <w:t xml:space="preserve">ков, связанный с поставкой и сбытом наркотических средств, по 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r/>
    </w:p>
    <w:p>
      <w:pPr>
        <w:ind w:firstLine="709"/>
        <w:spacing w:line="276" w:lineRule="auto"/>
      </w:pPr>
      <w:r>
        <w:t xml:space="preserve">Значительное влияние на данный процесс сохраня</w:t>
      </w:r>
      <w:r>
        <w:t xml:space="preserve">ю</w:t>
      </w:r>
      <w:r>
        <w:t xml:space="preserve">т преступные группы, в состав которых входят иностранные граждане, чаще Таджикистана, Киргизии, Узбекистана, Азербайджана.</w:t>
      </w:r>
      <w:r>
        <w:t xml:space="preserve"> </w:t>
      </w:r>
      <w:r>
        <w:t xml:space="preserve">Указанные группы чаще всего носят межрегиональный и межгосударственный характер. Организаторы могут проживать за границей.</w:t>
      </w:r>
      <w:r>
        <w:t xml:space="preserve"> </w:t>
      </w:r>
      <w:r>
        <w:t xml:space="preserve">Наибольшее их влияние на оперативную обстановку отмечено в городах Сургут, Нижневартовск, Нефтеюганск, Сургутском районе.</w:t>
      </w:r>
      <w:r/>
    </w:p>
    <w:p>
      <w:pPr>
        <w:ind w:firstLine="709"/>
        <w:spacing w:line="276" w:lineRule="auto"/>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r/>
    </w:p>
    <w:p>
      <w:pPr>
        <w:ind w:firstLine="709"/>
        <w:spacing w:line="276" w:lineRule="auto"/>
      </w:pPr>
      <w:r>
        <w:t xml:space="preserve">Пресечено 44 канала поступления запрещенных к обороту веществ на территорию округа (</w:t>
      </w:r>
      <w:r>
        <w:t xml:space="preserve">АППГ</w:t>
      </w:r>
      <w:r>
        <w:t xml:space="preserve"> – 39), из которых: 37 каналов из других регионов Российской Федерации (</w:t>
      </w:r>
      <w:r>
        <w:t xml:space="preserve">АППГ</w:t>
      </w:r>
      <w:r>
        <w:t xml:space="preserve"> – 35) и 7 контрабандных каналов (</w:t>
      </w:r>
      <w:r>
        <w:t xml:space="preserve">АППГ</w:t>
      </w:r>
      <w:r>
        <w:t xml:space="preserve"> – 4).</w:t>
      </w:r>
      <w:r/>
    </w:p>
    <w:p>
      <w:pPr>
        <w:ind w:firstLine="709"/>
        <w:spacing w:line="240" w:lineRule="auto"/>
        <w:rPr>
          <w:i/>
          <w:sz w:val="24"/>
          <w:szCs w:val="24"/>
        </w:rPr>
      </w:pPr>
      <w:r>
        <w:rPr>
          <w:i/>
          <w:sz w:val="24"/>
          <w:szCs w:val="24"/>
        </w:rPr>
        <w:t xml:space="preserve">Справочно: </w:t>
      </w:r>
      <w:r>
        <w:rPr>
          <w:i/>
          <w:sz w:val="24"/>
          <w:szCs w:val="24"/>
        </w:rPr>
        <w:t xml:space="preserve">Межрегиональные поставки осуществлялись из Московской, Свердловской, Тюменской, Владимирской, Волгогр</w:t>
      </w:r>
      <w:r>
        <w:rPr>
          <w:i/>
          <w:sz w:val="24"/>
          <w:szCs w:val="24"/>
        </w:rPr>
        <w:t xml:space="preserve">адской, Кировской, Оренбургской и Иркутской областей, Удмуртской Республики, Республики Алтай, ЯНАО и г. Санкт-Петербург: в том числе 19 – автотранспортом, 4 – железнодорожным транспортом, 2 – транспортными компаниями, а также 12 – почтовыми отправлениями.</w:t>
      </w:r>
      <w:r>
        <w:rPr>
          <w:i/>
          <w:sz w:val="24"/>
          <w:szCs w:val="24"/>
        </w:rPr>
      </w:r>
      <w:r>
        <w:rPr>
          <w:i/>
          <w:sz w:val="24"/>
          <w:szCs w:val="24"/>
        </w:rPr>
      </w:r>
    </w:p>
    <w:p>
      <w:pPr>
        <w:ind w:firstLine="709"/>
        <w:spacing w:line="240" w:lineRule="auto"/>
        <w:rPr>
          <w:i/>
          <w:sz w:val="24"/>
          <w:szCs w:val="24"/>
        </w:rPr>
      </w:pPr>
      <w:r>
        <w:rPr>
          <w:i/>
          <w:sz w:val="24"/>
          <w:szCs w:val="24"/>
        </w:rPr>
        <w:t xml:space="preserve">Контрабандные поставки осуществлялись международными почтовыми отправлениями из Казахстана, Индии и Китай.</w:t>
      </w:r>
      <w:r>
        <w:rPr>
          <w:i/>
          <w:sz w:val="24"/>
          <w:szCs w:val="24"/>
        </w:rPr>
      </w:r>
      <w:r>
        <w:rPr>
          <w:i/>
          <w:sz w:val="24"/>
          <w:szCs w:val="24"/>
        </w:rPr>
      </w:r>
    </w:p>
    <w:p>
      <w:pPr>
        <w:ind w:firstLine="709"/>
        <w:spacing w:line="240" w:lineRule="auto"/>
        <w:rPr>
          <w:sz w:val="24"/>
          <w:szCs w:val="24"/>
        </w:rPr>
        <w:pBdr>
          <w:bottom w:val="single" w:color="FFFFFF" w:sz="4" w:space="0"/>
        </w:pBdr>
      </w:pPr>
      <w:r>
        <w:rPr>
          <w:sz w:val="24"/>
          <w:szCs w:val="24"/>
        </w:rPr>
        <w:t xml:space="preserve">Общая масса изъятых у курьеров наркотиков составила более 38 кг </w:t>
      </w:r>
      <w:r>
        <w:rPr>
          <w:i/>
          <w:sz w:val="24"/>
          <w:szCs w:val="24"/>
        </w:rPr>
        <w:t xml:space="preserve">(38 592 грамма, п.г. – 57 кг 017 грамм)</w:t>
      </w:r>
      <w:r>
        <w:rPr>
          <w:sz w:val="24"/>
          <w:szCs w:val="24"/>
        </w:rPr>
        <w:t xml:space="preserve">.</w:t>
      </w:r>
      <w:r>
        <w:rPr>
          <w:sz w:val="24"/>
          <w:szCs w:val="24"/>
        </w:rPr>
      </w:r>
      <w:r>
        <w:rPr>
          <w:sz w:val="24"/>
          <w:szCs w:val="24"/>
        </w:rPr>
      </w:r>
    </w:p>
    <w:p>
      <w:pPr>
        <w:ind w:firstLine="709"/>
        <w:spacing w:line="276" w:lineRule="auto"/>
      </w:pPr>
      <w:r>
        <w:t xml:space="preserve">В рамках проводимой работы задержано 16 лиц, выполнявших роль межрегиональных курьеров (</w:t>
      </w:r>
      <w:r>
        <w:t xml:space="preserve">АППГ</w:t>
      </w:r>
      <w:r>
        <w:t xml:space="preserve"> – 22), действовавших в интересах «</w:t>
      </w:r>
      <w:r>
        <w:t xml:space="preserve">Интернет-магазинов</w:t>
      </w:r>
      <w:r>
        <w:t xml:space="preserve">», распространяющих наркотики бесконтактным способом, в том числе 3 гражданина иностранных государств (</w:t>
      </w:r>
      <w:r>
        <w:t xml:space="preserve">АППГ</w:t>
      </w:r>
      <w:r>
        <w:t xml:space="preserve"> – 7). </w:t>
      </w:r>
      <w:r/>
    </w:p>
    <w:p>
      <w:pPr>
        <w:ind w:firstLine="709"/>
        <w:spacing w:line="276" w:lineRule="auto"/>
      </w:pPr>
      <w:r>
        <w:t xml:space="preserve">В рам</w:t>
      </w:r>
      <w:r>
        <w:t xml:space="preserve">ках противодействия организованным формам наркопреступности, раскрыто 167 преступлений совершённых в составе организованной преступной группы (</w:t>
      </w:r>
      <w:r>
        <w:t xml:space="preserve">увеличение на </w:t>
      </w:r>
      <w:r>
        <w:t xml:space="preserve">50,5%, </w:t>
      </w:r>
      <w:r>
        <w:t xml:space="preserve">АППГ</w:t>
      </w:r>
      <w:r>
        <w:t xml:space="preserve"> – 111) и 712 преступлений, совершённых группой лиц по предварительному сговору (</w:t>
      </w:r>
      <w:r>
        <w:t xml:space="preserve">снижение на </w:t>
      </w:r>
      <w:r>
        <w:t xml:space="preserve">21,8%, </w:t>
      </w:r>
      <w:r>
        <w:t xml:space="preserve">АППГ</w:t>
      </w:r>
      <w:r>
        <w:t xml:space="preserve"> – 911).</w:t>
      </w:r>
      <w:r/>
    </w:p>
    <w:p>
      <w:pPr>
        <w:ind w:firstLine="709"/>
        <w:spacing w:line="276" w:lineRule="auto"/>
      </w:pPr>
      <w:r>
        <w:t xml:space="preserve">К уголовной ответственности, по око</w:t>
      </w:r>
      <w:r>
        <w:t xml:space="preserve">нченным предварительным расследованием уголовным делам, в составе организованной преступной группы (ОПГ) привлечено 49 лиц (</w:t>
      </w:r>
      <w:r>
        <w:t xml:space="preserve">увеличение на </w:t>
      </w:r>
      <w:r>
        <w:t xml:space="preserve">75%, </w:t>
      </w:r>
      <w:r>
        <w:t xml:space="preserve">АППГ</w:t>
      </w:r>
      <w:r>
        <w:t xml:space="preserve"> – 28) и 205 лиц, совершивших преступления в составе группы лиц по предварительному сговору (ГПС) (</w:t>
      </w:r>
      <w:r>
        <w:t xml:space="preserve">снижение на </w:t>
      </w:r>
      <w:r>
        <w:t xml:space="preserve">9,3%, </w:t>
      </w:r>
      <w:r>
        <w:t xml:space="preserve">АППГ</w:t>
      </w:r>
      <w:r>
        <w:t xml:space="preserve"> – 226).    </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ind w:firstLine="709"/>
        <w:spacing w:line="240" w:lineRule="auto"/>
        <w:rPr>
          <w:i/>
          <w:sz w:val="24"/>
          <w:szCs w:val="24"/>
        </w:rPr>
      </w:pPr>
      <w:r>
        <w:rPr>
          <w:i/>
          <w:sz w:val="24"/>
          <w:szCs w:val="24"/>
        </w:rPr>
        <w:t xml:space="preserve">1) В результате проведенного в период 2023-2024 гг. комплекса операт</w:t>
      </w:r>
      <w:r>
        <w:rPr>
          <w:i/>
          <w:sz w:val="24"/>
          <w:szCs w:val="24"/>
        </w:rPr>
        <w:t xml:space="preserve">ивно-розыскных, технических и следственных мероприятий, выявлена и задокументирована деятельность этнической организованной преступной группы состоящей из 15 иностранных граждан (13 – Узбекистана, Киргизии и Таджикистана – по 1), действовавшей в интересах </w:t>
      </w:r>
      <w:r>
        <w:rPr>
          <w:i/>
          <w:sz w:val="24"/>
          <w:szCs w:val="24"/>
        </w:rPr>
        <w:t xml:space="preserve">интернет-магазина</w:t>
      </w:r>
      <w:r>
        <w:rPr>
          <w:i/>
          <w:sz w:val="24"/>
          <w:szCs w:val="24"/>
        </w:rPr>
        <w:t xml:space="preserve"> «Сургут999», занимавшейся незаконным сбытом наркотиков на территории округа.</w:t>
      </w:r>
      <w:r>
        <w:rPr>
          <w:i/>
          <w:sz w:val="24"/>
          <w:szCs w:val="24"/>
        </w:rPr>
      </w:r>
      <w:r>
        <w:rPr>
          <w:i/>
          <w:sz w:val="24"/>
          <w:szCs w:val="24"/>
        </w:rPr>
      </w:r>
    </w:p>
    <w:p>
      <w:pPr>
        <w:ind w:firstLine="709"/>
        <w:spacing w:line="240" w:lineRule="auto"/>
        <w:rPr>
          <w:i/>
          <w:sz w:val="24"/>
          <w:szCs w:val="24"/>
        </w:rPr>
      </w:pPr>
      <w:r>
        <w:rPr>
          <w:i/>
          <w:sz w:val="24"/>
          <w:szCs w:val="24"/>
        </w:rPr>
        <w:t xml:space="preserve">В отношении участников преступной группы возбужден ряд уголовных дел, которые</w:t>
      </w:r>
      <w:r>
        <w:rPr>
          <w:i/>
          <w:sz w:val="24"/>
          <w:szCs w:val="24"/>
        </w:rPr>
        <w:t xml:space="preserve"> соединены в одно производство. В январе 2024 года СУ УМВД России по г. Сургуту уголовное дело в отношении всех участников направлено в суд, по 24 эпизодам преступной деятельности в составе «организованной преступной группы с участием иностранных граждан».</w:t>
      </w:r>
      <w:r>
        <w:rPr>
          <w:i/>
          <w:sz w:val="24"/>
          <w:szCs w:val="24"/>
        </w:rPr>
      </w:r>
      <w:r>
        <w:rPr>
          <w:i/>
          <w:sz w:val="24"/>
          <w:szCs w:val="24"/>
        </w:rPr>
      </w:r>
    </w:p>
    <w:p>
      <w:pPr>
        <w:ind w:firstLine="709"/>
        <w:spacing w:line="240" w:lineRule="auto"/>
        <w:rPr>
          <w:i/>
          <w:sz w:val="24"/>
          <w:szCs w:val="24"/>
        </w:rPr>
      </w:pPr>
      <w:r>
        <w:rPr>
          <w:i/>
          <w:sz w:val="24"/>
          <w:szCs w:val="24"/>
        </w:rPr>
        <w:t xml:space="preserve">2) В результате проведенного в 2</w:t>
      </w:r>
      <w:r>
        <w:rPr>
          <w:i/>
          <w:sz w:val="24"/>
          <w:szCs w:val="24"/>
        </w:rPr>
        <w:t xml:space="preserve">024 году 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4 граждан (3 – жителей Югры и 1 – жителя Иркутской области), действовавшей в интересах </w:t>
      </w:r>
      <w:r>
        <w:rPr>
          <w:i/>
          <w:sz w:val="24"/>
          <w:szCs w:val="24"/>
        </w:rPr>
        <w:t xml:space="preserve">интернет-магазина</w:t>
      </w:r>
      <w:r>
        <w:rPr>
          <w:i/>
          <w:sz w:val="24"/>
          <w:szCs w:val="24"/>
        </w:rPr>
        <w:t xml:space="preserve"> «Рик и Морти», занимавшейся незаконным сбытом наркотиков на территории округа.</w:t>
      </w:r>
      <w:r>
        <w:rPr>
          <w:i/>
          <w:sz w:val="24"/>
          <w:szCs w:val="24"/>
        </w:rPr>
      </w:r>
      <w:r>
        <w:rPr>
          <w:i/>
          <w:sz w:val="24"/>
          <w:szCs w:val="24"/>
        </w:rPr>
      </w:r>
    </w:p>
    <w:p>
      <w:pPr>
        <w:ind w:firstLine="709"/>
        <w:spacing w:line="240" w:lineRule="auto"/>
        <w:rPr>
          <w:i/>
          <w:sz w:val="24"/>
          <w:szCs w:val="24"/>
        </w:rPr>
      </w:pPr>
      <w:r>
        <w:rPr>
          <w:i/>
          <w:sz w:val="24"/>
          <w:szCs w:val="24"/>
        </w:rPr>
        <w:t xml:space="preserve">В отношении участников преступной группы возбужден ряд</w:t>
      </w:r>
      <w:r>
        <w:rPr>
          <w:i/>
          <w:sz w:val="24"/>
          <w:szCs w:val="24"/>
        </w:rPr>
        <w:t xml:space="preserve"> уголовных дел, которые соединены в одно производство. В октябре-ноябре 2024 года СО ОМВД России по г. Югорску уголовное дело в отношении всех участников направлено в суд, по 40 эпизодам преступной деятельности в составе «организованной преступной группы».</w:t>
      </w:r>
      <w:r>
        <w:rPr>
          <w:i/>
          <w:sz w:val="24"/>
          <w:szCs w:val="24"/>
        </w:rPr>
      </w:r>
      <w:r>
        <w:rPr>
          <w:i/>
          <w:sz w:val="24"/>
          <w:szCs w:val="24"/>
        </w:rPr>
      </w:r>
    </w:p>
    <w:p>
      <w:pPr>
        <w:ind w:firstLine="709"/>
        <w:spacing w:line="276" w:lineRule="auto"/>
      </w:pPr>
      <w:r>
        <w:t xml:space="preserve">Проводимый </w:t>
      </w:r>
      <w:r>
        <w:t xml:space="preserve">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209 (-7,</w:t>
      </w:r>
      <w:r>
        <w:t xml:space="preserve">5%, п.г. – 226) граждан РФ, в том числе 171 (+23,9%, п.г. – 138)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w:t>
      </w:r>
      <w:r>
        <w:t xml:space="preserve">ств пр</w:t>
      </w:r>
      <w:r>
        <w:t xml:space="preserve">ивлечено 36 (</w:t>
      </w:r>
      <w:r>
        <w:t xml:space="preserve">снижение на </w:t>
      </w:r>
      <w:r>
        <w:t xml:space="preserve">59,1%, </w:t>
      </w:r>
      <w:r>
        <w:t xml:space="preserve">АППГ</w:t>
      </w:r>
      <w:r>
        <w:t xml:space="preserve"> – 88) жителей друг</w:t>
      </w:r>
      <w:r>
        <w:t xml:space="preserve">их регионов, в том числе: Иркутской области – 19, Пермской области – 4, Свердловской и Омской областей – по 2, Московской, Тюменской, Курганской, Владимирской, Ростовской и Новосибирской областей, а также ЯНАО, Краснодарского края и Республики Крым – по 1.</w:t>
      </w:r>
      <w:r/>
    </w:p>
    <w:p>
      <w:pPr>
        <w:ind w:firstLine="709"/>
        <w:spacing w:line="276" w:lineRule="auto"/>
        <w:pBdr>
          <w:bottom w:val="single" w:color="FFFFFF" w:sz="4" w:space="0"/>
        </w:pBdr>
      </w:pPr>
      <w:r>
        <w:t xml:space="preserve">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r/>
    </w:p>
    <w:p>
      <w:pPr>
        <w:ind w:firstLine="709"/>
        <w:spacing w:line="276" w:lineRule="auto"/>
      </w:pPr>
      <w:r>
        <w:t xml:space="preserve">Как и годом раннее, подавляющее большинство из числа привлеченных к уголовной ответственности за совершение преступлений в сфере НОН – </w:t>
      </w:r>
      <w:r>
        <w:t xml:space="preserve">772 (</w:t>
      </w:r>
      <w:r>
        <w:t xml:space="preserve">АППГ</w:t>
      </w:r>
      <w:r>
        <w:t xml:space="preserve"> – 801), составляют мужчины – 658 или 85,2%</w:t>
      </w:r>
      <w:r>
        <w:t xml:space="preserve">, женщины – 114 или 14,7%</w:t>
      </w:r>
      <w:r>
        <w:t xml:space="preserve">, и не имеют постоянного источника дохода – 510 или 66,1%</w:t>
      </w:r>
      <w:r>
        <w:t xml:space="preserve">.</w:t>
      </w:r>
      <w:r/>
    </w:p>
    <w:p>
      <w:pPr>
        <w:ind w:firstLine="709"/>
        <w:spacing w:line="276" w:lineRule="auto"/>
      </w:pPr>
      <w:r>
        <w:t xml:space="preserve">К возрастной группе от 18 до 2</w:t>
      </w:r>
      <w:r>
        <w:t xml:space="preserve">9 лет относятся – 275 или 35,6% </w:t>
      </w:r>
      <w:r>
        <w:t xml:space="preserve"> привлеченных к уголовной ответственности за НОН, к группе от 30 до 39 лет – 270 или 35%</w:t>
      </w:r>
      <w:r>
        <w:t xml:space="preserve">, к группе от 40 лет и старше – 204 или 26,4%</w:t>
      </w:r>
      <w:r>
        <w:t xml:space="preserve"> и к группе от 14 до 17</w:t>
      </w:r>
      <w:r>
        <w:t xml:space="preserve"> лет – 23 или 3% (</w:t>
      </w:r>
      <w:r>
        <w:t xml:space="preserve">АППГ</w:t>
      </w:r>
      <w:r>
        <w:t xml:space="preserve"> – 8 или 1%).</w:t>
      </w:r>
      <w:r/>
    </w:p>
    <w:p>
      <w:pPr>
        <w:ind w:firstLine="709"/>
        <w:spacing w:line="276" w:lineRule="auto"/>
      </w:pPr>
      <w:r>
        <w:t xml:space="preserve">Из общего числа лиц, привлеченных к уголовной ответственности за совершение преступлений в сфере НОН, 699 лиц (</w:t>
      </w:r>
      <w:r>
        <w:t xml:space="preserve">АППГ</w:t>
      </w:r>
      <w:r>
        <w:t xml:space="preserve"> – 747) – граждане Российской Федерации, что составляет более 90,5% (</w:t>
      </w:r>
      <w:r>
        <w:t xml:space="preserve">АППГ</w:t>
      </w:r>
      <w:r>
        <w:t xml:space="preserve"> – 93,3%).</w:t>
      </w:r>
      <w:r/>
    </w:p>
    <w:p>
      <w:pPr>
        <w:ind w:firstLine="709"/>
        <w:spacing w:line="276" w:lineRule="auto"/>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w:t>
      </w:r>
      <w:r>
        <w:t xml:space="preserve"> складывающаяся на территории Ханты-Мансийского автономного округа</w:t>
      </w:r>
      <w:r>
        <w:t xml:space="preserve"> </w:t>
      </w:r>
      <w:r>
        <w:t xml:space="preserve">–</w:t>
      </w:r>
      <w:r>
        <w:t xml:space="preserve"> </w:t>
      </w:r>
      <w:r>
        <w:t xml:space="preserve">Югры.</w:t>
      </w:r>
      <w:r/>
    </w:p>
    <w:p>
      <w:pPr>
        <w:ind w:firstLine="709"/>
        <w:spacing w:line="276" w:lineRule="auto"/>
      </w:pPr>
      <w:r>
        <w:t xml:space="preserve">По итогам 12 месяцев 20</w:t>
      </w:r>
      <w:r>
        <w:t xml:space="preserve">24 года миграционная ситуация на территории Ханты-Мансийского автономного округа </w:t>
      </w:r>
      <w:r>
        <w:t xml:space="preserve">–</w:t>
      </w:r>
      <w:r>
        <w:t xml:space="preserve"> Югры характеризуется снижением количества фактов постановки на миграционный учет иностранных граждан (</w:t>
      </w:r>
      <w:r>
        <w:t xml:space="preserve">на </w:t>
      </w:r>
      <w:r>
        <w:t xml:space="preserve">5,6%, со 170868 до 161383), и значительным увеличением снятия с учета</w:t>
      </w:r>
      <w:r>
        <w:t xml:space="preserve"> </w:t>
      </w:r>
      <w:r>
        <w:t xml:space="preserve">(</w:t>
      </w:r>
      <w:r>
        <w:t xml:space="preserve">на </w:t>
      </w:r>
      <w:r>
        <w:t xml:space="preserve">29,2%, со 130985 до 169178).</w:t>
      </w:r>
      <w:r/>
    </w:p>
    <w:p>
      <w:pPr>
        <w:pStyle w:val="1652"/>
        <w:ind w:left="0" w:firstLine="709"/>
        <w:spacing w:line="276" w:lineRule="auto"/>
      </w:pPr>
      <w:r>
        <w:t xml:space="preserve">Кроме того, отмечается незначительное уменьшение числа иностранных граждан фактически состоящих на миграционном учете (</w:t>
      </w:r>
      <w:r>
        <w:t xml:space="preserve">на </w:t>
      </w:r>
      <w:r>
        <w:t xml:space="preserve">3,3%; с 40870 до 39503).</w:t>
      </w:r>
      <w:r/>
    </w:p>
    <w:p>
      <w:pPr>
        <w:ind w:firstLine="709"/>
        <w:spacing w:line="276" w:lineRule="auto"/>
      </w:pPr>
      <w:r>
        <w:t xml:space="preserve">Основной миграционный поток приходится (от числа первично поставленных) на г</w:t>
      </w:r>
      <w:r>
        <w:t xml:space="preserve">раждан государств-участников СНГ, что в количественном выражении составляет 97% (или 69046 из 71211). Более половины всех иностранных граждан, прибывших в Российскую Федерацию, составляют граждане Таджикистана – 35,7% (25430) и Узбекистана – 29,8% (21254).</w:t>
      </w:r>
      <w:r/>
    </w:p>
    <w:p>
      <w:pPr>
        <w:ind w:firstLine="709"/>
        <w:spacing w:line="276" w:lineRule="auto"/>
      </w:pPr>
      <w:r>
        <w:t xml:space="preserve">Основной целью пребывания иностранных граждан по-</w:t>
      </w:r>
      <w:r>
        <w:t xml:space="preserve">прежнему является «работа», 81,1% (или 32040 из 39503) мигрантов, находящихся на территории округа, осуществляют трудовую деятельность (в том числе: в сфере добычи полезных ископаемых – 23%; в строительстве – 21,4%; в оптовой и розничной торговле – 19,3%).</w:t>
      </w:r>
      <w:r/>
    </w:p>
    <w:p>
      <w:pPr>
        <w:ind w:firstLine="709"/>
        <w:spacing w:line="276" w:lineRule="auto"/>
      </w:pPr>
      <w:r>
        <w:t xml:space="preserve">Наблюдается значительное снижение числа лиц, приобретших российское гражданство (</w:t>
      </w:r>
      <w:r>
        <w:t xml:space="preserve">на </w:t>
      </w:r>
      <w:r>
        <w:t xml:space="preserve">33,6%; с 16280 до 10810), количества оформленных разрешений на временное проживание в Российской </w:t>
      </w:r>
      <w:r>
        <w:t xml:space="preserve">Федерации (</w:t>
      </w:r>
      <w:r>
        <w:t xml:space="preserve">на </w:t>
      </w:r>
      <w:r>
        <w:t xml:space="preserve">75,5%; с 3319 до 812), а также видов на жительство (</w:t>
      </w:r>
      <w:r>
        <w:t xml:space="preserve">на </w:t>
      </w:r>
      <w:r>
        <w:t xml:space="preserve">10,1%; с 9680 </w:t>
      </w:r>
      <w:r>
        <w:t xml:space="preserve">до</w:t>
      </w:r>
      <w:r>
        <w:t xml:space="preserve"> 8698).</w:t>
      </w:r>
      <w:r/>
    </w:p>
    <w:p>
      <w:pPr>
        <w:ind w:firstLine="709"/>
        <w:spacing w:line="276" w:lineRule="auto"/>
      </w:pPr>
      <w:r>
        <w:t xml:space="preserve">Оформлено 25348 патентов (</w:t>
      </w:r>
      <w:r>
        <w:t xml:space="preserve">снижение на </w:t>
      </w:r>
      <w:r>
        <w:t xml:space="preserve">17,5%, </w:t>
      </w:r>
      <w:r>
        <w:t xml:space="preserve">АППГ</w:t>
      </w:r>
      <w:r>
        <w:t xml:space="preserve"> – 30713). </w:t>
      </w:r>
      <w:r>
        <w:t xml:space="preserve">В </w:t>
      </w:r>
      <w:r>
        <w:t xml:space="preserve">2024</w:t>
      </w:r>
      <w:r>
        <w:t xml:space="preserve"> году от работодателей, заказчиков работ (услуг) поступило </w:t>
      </w:r>
      <w:r>
        <w:br/>
        <w:t xml:space="preserve">38 239 (</w:t>
      </w:r>
      <w:r>
        <w:t xml:space="preserve">увеличение на </w:t>
      </w:r>
      <w:r>
        <w:t xml:space="preserve">25,8%, </w:t>
      </w:r>
      <w:r>
        <w:t xml:space="preserve">АППГ</w:t>
      </w:r>
      <w:r>
        <w:t xml:space="preserve"> – 30388) уведомлений о заключении трудовых договоров </w:t>
      </w:r>
      <w:r>
        <w:t xml:space="preserve">с иностранными гражд</w:t>
      </w:r>
      <w:r>
        <w:t xml:space="preserve">анами, осуществляющими трудовую деятельность, из них: 56,8% – на основании патентов и разрешений на работу, 43,2% – без разрешительных документов, а также 28170 (</w:t>
      </w:r>
      <w:r>
        <w:t xml:space="preserve">увеличение на </w:t>
      </w:r>
      <w:r>
        <w:t xml:space="preserve">27,3%, </w:t>
      </w:r>
      <w:r>
        <w:t xml:space="preserve">АППГ</w:t>
      </w:r>
      <w:r>
        <w:t xml:space="preserve"> – 22127) о расторжении трудовых или гражданско-правовых договоров с иностранцами.</w:t>
      </w:r>
      <w:r/>
    </w:p>
    <w:p>
      <w:pPr>
        <w:pStyle w:val="1652"/>
        <w:ind w:left="0" w:firstLine="709"/>
        <w:spacing w:line="276" w:lineRule="auto"/>
      </w:pPr>
      <w:r>
        <w:t xml:space="preserve">В </w:t>
      </w:r>
      <w:r>
        <w:t xml:space="preserve">2024 год</w:t>
      </w:r>
      <w:r>
        <w:t xml:space="preserve">у</w:t>
      </w:r>
      <w:r>
        <w:t xml:space="preserve"> оформлено 103 разрешения на работу (</w:t>
      </w:r>
      <w:r>
        <w:t xml:space="preserve">снижение на </w:t>
      </w:r>
      <w:r>
        <w:t xml:space="preserve">21,4%, </w:t>
      </w:r>
      <w:r>
        <w:t xml:space="preserve">АППГ</w:t>
      </w:r>
      <w:r>
        <w:t xml:space="preserve"> – 131), в том числе 45 (</w:t>
      </w:r>
      <w:r>
        <w:t xml:space="preserve">снижение на </w:t>
      </w:r>
      <w:r>
        <w:t xml:space="preserve">21%, </w:t>
      </w:r>
      <w:r>
        <w:t xml:space="preserve">АППГ</w:t>
      </w:r>
      <w:r>
        <w:t xml:space="preserve"> – 57) высококвалифицированным специалистам.</w:t>
      </w:r>
      <w:r/>
    </w:p>
    <w:p>
      <w:pPr>
        <w:ind w:firstLine="709"/>
        <w:spacing w:line="276" w:lineRule="auto"/>
      </w:pPr>
      <w:r>
        <w:t xml:space="preserve">В отношении иностранных граждан и лиц без гражданства принято 257 решений об отказе в выдаче (</w:t>
      </w:r>
      <w:r>
        <w:t xml:space="preserve">увеличение на </w:t>
      </w:r>
      <w:r>
        <w:t xml:space="preserve">1,6%) и 2 424 – об аннулировании (</w:t>
      </w:r>
      <w:r>
        <w:t xml:space="preserve">увеличение</w:t>
      </w:r>
      <w:r>
        <w:t xml:space="preserve"> в 1,8 раза) разрешительных документов.</w:t>
      </w:r>
      <w:r/>
    </w:p>
    <w:p>
      <w:pPr>
        <w:ind w:firstLine="709"/>
        <w:spacing w:line="276" w:lineRule="auto"/>
      </w:pPr>
      <w:r>
        <w:t xml:space="preserve">В целях повышения уровня контроля за нахождением иностранных граждан на территории округа, профилактики совершения ими преступных деяний и оздоровления криминогенной ситуации, в течение 2024 года сотрудниками </w:t>
      </w:r>
      <w:r>
        <w:t xml:space="preserve">У(</w:t>
      </w:r>
      <w:r>
        <w:t xml:space="preserve">О)МВД на территори</w:t>
      </w:r>
      <w:r>
        <w:t xml:space="preserve">и автономного округа проведены оперативно-профилактические мероприятия: </w:t>
      </w:r>
      <w:r>
        <w:t xml:space="preserve">оперативно-проифлактическое мероприятие (</w:t>
      </w:r>
      <w:r>
        <w:t xml:space="preserve">ОПМ</w:t>
      </w:r>
      <w:r>
        <w:t xml:space="preserve">)</w:t>
      </w:r>
      <w:r>
        <w:t xml:space="preserve"> «Работодатель» (с 29 января по 2 февраля), ОПМ «Мигрант» (с 19 по 22 марта), ОПМ «Иностранец» (с 21 по 24 мая), </w:t>
      </w:r>
      <w:r>
        <w:t xml:space="preserve"> «Нелегал-2024» (1 этап – с 3 по 9 июня; 2 этап – с 30 сентября </w:t>
      </w:r>
      <w:r>
        <w:t xml:space="preserve">по</w:t>
      </w:r>
      <w:r>
        <w:t xml:space="preserve"> 6 октября).</w:t>
      </w:r>
      <w:r/>
    </w:p>
    <w:p>
      <w:pPr>
        <w:ind w:firstLine="709"/>
        <w:spacing w:line="276" w:lineRule="auto"/>
      </w:pPr>
      <w:r>
        <w:t xml:space="preserve">Всего </w:t>
      </w:r>
      <w:r>
        <w:t xml:space="preserve">в рамках осуществления </w:t>
      </w:r>
      <w:r>
        <w:t xml:space="preserve">контроля </w:t>
      </w:r>
      <w:r>
        <w:t xml:space="preserve">за</w:t>
      </w:r>
      <w:r>
        <w:t xml:space="preserve"> исполнением миграционного законодательства проведено 2835 (</w:t>
      </w:r>
      <w:r>
        <w:t xml:space="preserve">увеличение в </w:t>
      </w:r>
      <w:r>
        <w:t xml:space="preserve">4,3 раза, </w:t>
      </w:r>
      <w:r>
        <w:t xml:space="preserve">АППГ</w:t>
      </w:r>
      <w:r>
        <w:t xml:space="preserve"> – 663) проверочных мероприятий на объектах торговли и строительства, в жилом секторе и местах компактного пребывания (проживания) иностранцев.</w:t>
      </w:r>
      <w:r/>
    </w:p>
    <w:p>
      <w:pPr>
        <w:ind w:firstLine="709"/>
        <w:spacing w:line="276" w:lineRule="auto"/>
      </w:pPr>
      <w:r>
        <w:t xml:space="preserve">По результатам контрольных (надзорных) мероприятий должностными лицами </w:t>
      </w:r>
      <w:r>
        <w:t xml:space="preserve">У(</w:t>
      </w:r>
      <w:r>
        <w:t xml:space="preserve">О)МВД пресечено 11707 (</w:t>
      </w:r>
      <w:r>
        <w:t xml:space="preserve">увеличение на </w:t>
      </w:r>
      <w:r>
        <w:t xml:space="preserve">1,2%, </w:t>
      </w:r>
      <w:r>
        <w:t xml:space="preserve">АППГ</w:t>
      </w:r>
      <w:r>
        <w:t xml:space="preserve"> – 11573) административных правонарушений, предусмотренных главой 18 КоАП РФ и ст.19.27 КоАП РФ.</w:t>
      </w:r>
      <w:r/>
    </w:p>
    <w:p>
      <w:pPr>
        <w:pStyle w:val="1652"/>
        <w:ind w:left="0" w:firstLine="709"/>
        <w:spacing w:line="276" w:lineRule="auto"/>
      </w:pPr>
      <w:r>
        <w:t xml:space="preserve">Удалось достичь значительного увеличения числа выявленных иностранных граждан, незаконно находящихся на территории Российской Федерации (</w:t>
      </w:r>
      <w:r>
        <w:t xml:space="preserve">на </w:t>
      </w:r>
      <w:r>
        <w:t xml:space="preserve">17,3%, с 1360 до 1595), а также количества принятых судебными органами решений об административном выдворении иностранных граждан за пределы Российской Федерации (</w:t>
      </w:r>
      <w:r>
        <w:t xml:space="preserve">на </w:t>
      </w:r>
      <w:r>
        <w:t xml:space="preserve">46,5%, с 988 до 1447), при этом их исполнение также возросло (</w:t>
      </w:r>
      <w:r>
        <w:t xml:space="preserve">в 1,5 раза, с 842 до 1263). </w:t>
      </w:r>
      <w:r/>
    </w:p>
    <w:p>
      <w:pPr>
        <w:ind w:firstLine="709"/>
        <w:spacing w:line="276" w:lineRule="auto"/>
      </w:pPr>
      <w:r>
        <w:t xml:space="preserve">В течение 2024 года отмечено увеличение на 5,7% (с 333 до 352) числа преступных деяний, а также числа иностранных граждан и лиц без гражданства, их совершивших на 9,1% (с 252 </w:t>
      </w:r>
      <w:r>
        <w:t xml:space="preserve">до</w:t>
      </w:r>
      <w:r>
        <w:t xml:space="preserve"> 275). При этом наблюдается снижение количества преступлений совершенных в отношении указанных лиц (</w:t>
      </w:r>
      <w:r>
        <w:t xml:space="preserve">на </w:t>
      </w:r>
      <w:r>
        <w:t xml:space="preserve">11,5%, со 113 до 100).</w:t>
      </w:r>
      <w:r/>
    </w:p>
    <w:p>
      <w:pPr>
        <w:ind w:firstLine="709"/>
        <w:spacing w:line="276" w:lineRule="auto"/>
      </w:pPr>
      <w:r>
        <w:t xml:space="preserve">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r/>
    </w:p>
    <w:p>
      <w:pPr>
        <w:ind w:firstLine="709"/>
        <w:spacing w:line="276" w:lineRule="auto"/>
      </w:pPr>
      <w:r>
        <w:t xml:space="preserve">Вместе с тем, в течение 2024 года к уголовной ответственности за совершение преступлений в сфере НОН привлечено 72 (</w:t>
      </w:r>
      <w:r>
        <w:t xml:space="preserve">увеличение на </w:t>
      </w:r>
      <w:r>
        <w:t xml:space="preserve">33,3%</w:t>
      </w:r>
      <w:r>
        <w:t xml:space="preserve">;</w:t>
      </w:r>
      <w:r>
        <w:t xml:space="preserve"> 54) иностранца, в том числе: </w:t>
      </w:r>
      <w:r>
        <w:t xml:space="preserve">Узбекистана – 48 (</w:t>
      </w:r>
      <w:r>
        <w:t xml:space="preserve">АППГ</w:t>
      </w:r>
      <w:r>
        <w:t xml:space="preserve"> – 10), Таджикистана – 12 (</w:t>
      </w:r>
      <w:r>
        <w:t xml:space="preserve">АППГ</w:t>
      </w:r>
      <w:r>
        <w:t xml:space="preserve"> – 25), Киргизии – 6 (</w:t>
      </w:r>
      <w:r>
        <w:t xml:space="preserve">АППГ</w:t>
      </w:r>
      <w:r>
        <w:t xml:space="preserve"> – 7), Белоруссии – 5 (</w:t>
      </w:r>
      <w:r>
        <w:t xml:space="preserve">АППГ</w:t>
      </w:r>
      <w:r>
        <w:t xml:space="preserve"> – 4), Азербайджана – 1 (</w:t>
      </w:r>
      <w:r>
        <w:t xml:space="preserve">АППГ</w:t>
      </w:r>
      <w:r>
        <w:t xml:space="preserve"> – 5).</w:t>
      </w:r>
      <w:r>
        <w:t xml:space="preserve"> Кроме того, к ответственности привлечено 1 лицо без гражданства (</w:t>
      </w:r>
      <w:r>
        <w:t xml:space="preserve">АППГ</w:t>
      </w:r>
      <w:r>
        <w:t xml:space="preserve"> – 0).</w:t>
      </w:r>
      <w:r/>
    </w:p>
    <w:p>
      <w:pPr>
        <w:ind w:firstLine="709"/>
        <w:spacing w:line="276" w:lineRule="auto"/>
      </w:pPr>
      <w:r>
        <w:t xml:space="preserve">Данные граждане составляют 9,5% (</w:t>
      </w:r>
      <w:r>
        <w:t xml:space="preserve">увеличение на </w:t>
      </w:r>
      <w:r>
        <w:t xml:space="preserve">2,8%</w:t>
      </w:r>
      <w:r>
        <w:t xml:space="preserve">) от общего числа лиц, привлеченных к уголовной ответственности за совершение наркопреступлений.</w:t>
      </w:r>
      <w:r/>
    </w:p>
    <w:p>
      <w:pPr>
        <w:ind w:firstLine="709"/>
        <w:spacing w:line="276" w:lineRule="auto"/>
      </w:pPr>
      <w:r>
        <w:t xml:space="preserve">При этом</w:t>
      </w:r>
      <w:r>
        <w:t xml:space="preserve">,</w:t>
      </w:r>
      <w:r>
        <w:t xml:space="preserve"> из общего числа привлеченных к уголовной ответственности за наркопреступления иностранцев – 68 привлечены за сбыт (</w:t>
      </w:r>
      <w:r>
        <w:t xml:space="preserve">увеличение на </w:t>
      </w:r>
      <w:r>
        <w:t xml:space="preserve">44,7%, </w:t>
      </w:r>
      <w:r>
        <w:t xml:space="preserve">АППГ</w:t>
      </w:r>
      <w:r>
        <w:t xml:space="preserve"> – 47).</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ind w:firstLine="709"/>
        <w:spacing w:line="240" w:lineRule="auto"/>
        <w:rPr>
          <w:i/>
          <w:sz w:val="24"/>
          <w:szCs w:val="24"/>
        </w:rPr>
      </w:pPr>
      <w:r>
        <w:rPr>
          <w:i/>
          <w:sz w:val="24"/>
          <w:szCs w:val="24"/>
        </w:rPr>
        <w:t xml:space="preserve">В течение 2024 года на территории округа за незаконный сбыт наркотиков задержан 31 иностранный гражданин (-33,3%, </w:t>
      </w:r>
      <w:r>
        <w:rPr>
          <w:i/>
          <w:sz w:val="24"/>
          <w:szCs w:val="24"/>
        </w:rPr>
        <w:t xml:space="preserve">АППГ</w:t>
      </w:r>
      <w:r>
        <w:rPr>
          <w:i/>
          <w:sz w:val="24"/>
          <w:szCs w:val="24"/>
        </w:rPr>
        <w:t xml:space="preserve"> – 48), в том числе завербованные для работы на </w:t>
      </w:r>
      <w:r>
        <w:rPr>
          <w:i/>
          <w:sz w:val="24"/>
          <w:szCs w:val="24"/>
        </w:rPr>
        <w:t xml:space="preserve">Интернет-магазины</w:t>
      </w:r>
      <w:r>
        <w:rPr>
          <w:i/>
          <w:sz w:val="24"/>
          <w:szCs w:val="24"/>
        </w:rPr>
        <w:t xml:space="preserve">, у которых в общей сложности изъято 7 кг 005 грамм наркотиков (</w:t>
      </w:r>
      <w:r>
        <w:rPr>
          <w:i/>
          <w:sz w:val="24"/>
          <w:szCs w:val="24"/>
        </w:rPr>
        <w:t xml:space="preserve">АППГ</w:t>
      </w:r>
      <w:r>
        <w:rPr>
          <w:i/>
          <w:sz w:val="24"/>
          <w:szCs w:val="24"/>
        </w:rPr>
        <w:t xml:space="preserve"> – 13 кг 874 грамм).</w:t>
      </w:r>
      <w:r>
        <w:rPr>
          <w:i/>
          <w:sz w:val="24"/>
          <w:szCs w:val="24"/>
        </w:rPr>
      </w:r>
      <w:r>
        <w:rPr>
          <w:i/>
          <w:sz w:val="24"/>
          <w:szCs w:val="24"/>
        </w:rPr>
      </w:r>
    </w:p>
    <w:p>
      <w:pPr>
        <w:ind w:firstLine="709"/>
        <w:spacing w:line="240" w:lineRule="auto"/>
        <w:rPr>
          <w:i/>
          <w:sz w:val="24"/>
          <w:szCs w:val="24"/>
        </w:rPr>
      </w:pPr>
      <w:r>
        <w:rPr>
          <w:i/>
          <w:sz w:val="24"/>
          <w:szCs w:val="24"/>
        </w:rPr>
        <w:t xml:space="preserve">Из общего количества задержанных ино</w:t>
      </w:r>
      <w:r>
        <w:rPr>
          <w:i/>
          <w:sz w:val="24"/>
          <w:szCs w:val="24"/>
        </w:rPr>
        <w:t xml:space="preserve">странцев: 15 граждан Узбекистана (</w:t>
      </w:r>
      <w:r>
        <w:rPr>
          <w:i/>
          <w:sz w:val="24"/>
          <w:szCs w:val="24"/>
        </w:rPr>
        <w:t xml:space="preserve">АППГ</w:t>
      </w:r>
      <w:r>
        <w:rPr>
          <w:i/>
          <w:sz w:val="24"/>
          <w:szCs w:val="24"/>
        </w:rPr>
        <w:t xml:space="preserve"> – 21), 9 граждан Беларуси (</w:t>
      </w:r>
      <w:r>
        <w:rPr>
          <w:i/>
          <w:sz w:val="24"/>
          <w:szCs w:val="24"/>
        </w:rPr>
        <w:t xml:space="preserve">АППГ</w:t>
      </w:r>
      <w:r>
        <w:rPr>
          <w:i/>
          <w:sz w:val="24"/>
          <w:szCs w:val="24"/>
        </w:rPr>
        <w:t xml:space="preserve"> – 6), 6 граждан Таджикистана (</w:t>
      </w:r>
      <w:r>
        <w:rPr>
          <w:i/>
          <w:sz w:val="24"/>
          <w:szCs w:val="24"/>
        </w:rPr>
        <w:t xml:space="preserve">АППГ</w:t>
      </w:r>
      <w:r>
        <w:rPr>
          <w:i/>
          <w:sz w:val="24"/>
          <w:szCs w:val="24"/>
        </w:rPr>
        <w:t xml:space="preserve"> – 12), 4 гражданина Казахстана (</w:t>
      </w:r>
      <w:r>
        <w:rPr>
          <w:i/>
          <w:sz w:val="24"/>
          <w:szCs w:val="24"/>
        </w:rPr>
        <w:t xml:space="preserve">АППГ</w:t>
      </w:r>
      <w:r>
        <w:rPr>
          <w:i/>
          <w:sz w:val="24"/>
          <w:szCs w:val="24"/>
        </w:rPr>
        <w:t xml:space="preserve"> – 0), 3 гражданина Азербайджана (</w:t>
      </w:r>
      <w:r>
        <w:rPr>
          <w:i/>
          <w:sz w:val="24"/>
          <w:szCs w:val="24"/>
        </w:rPr>
        <w:t xml:space="preserve">АППГ</w:t>
      </w:r>
      <w:r>
        <w:rPr>
          <w:i/>
          <w:sz w:val="24"/>
          <w:szCs w:val="24"/>
        </w:rPr>
        <w:t xml:space="preserve"> – 2), 2 гражданина Кыргызстана (</w:t>
      </w:r>
      <w:r>
        <w:rPr>
          <w:i/>
          <w:sz w:val="24"/>
          <w:szCs w:val="24"/>
        </w:rPr>
        <w:t xml:space="preserve">АППГ</w:t>
      </w:r>
      <w:r>
        <w:rPr>
          <w:i/>
          <w:sz w:val="24"/>
          <w:szCs w:val="24"/>
        </w:rPr>
        <w:t xml:space="preserve"> – 7) и 1 гражданин Украины (</w:t>
      </w:r>
      <w:r>
        <w:rPr>
          <w:i/>
          <w:sz w:val="24"/>
          <w:szCs w:val="24"/>
        </w:rPr>
        <w:t xml:space="preserve">АППГ</w:t>
      </w:r>
      <w:r>
        <w:rPr>
          <w:i/>
          <w:sz w:val="24"/>
          <w:szCs w:val="24"/>
        </w:rPr>
        <w:t xml:space="preserve"> – 0).</w:t>
      </w:r>
      <w:r>
        <w:rPr>
          <w:i/>
          <w:sz w:val="24"/>
          <w:szCs w:val="24"/>
        </w:rPr>
      </w:r>
      <w:r>
        <w:rPr>
          <w:i/>
          <w:sz w:val="24"/>
          <w:szCs w:val="24"/>
        </w:rPr>
      </w:r>
    </w:p>
    <w:p>
      <w:pPr>
        <w:ind w:firstLine="709"/>
        <w:spacing w:line="276" w:lineRule="auto"/>
      </w:pPr>
      <w:r>
        <w:t xml:space="preserve">Основными центрами реализации наркотических сре</w:t>
      </w:r>
      <w:r>
        <w:t xml:space="preserve">дств ср</w:t>
      </w:r>
      <w:r>
        <w:t xml:space="preserve">еди иностранных граждан являлись города Сургут, Нижневартовск и Ханты-Мансийск. </w:t>
      </w:r>
      <w:r/>
    </w:p>
    <w:p>
      <w:pPr>
        <w:ind w:firstLine="709"/>
        <w:spacing w:line="276" w:lineRule="auto"/>
      </w:pPr>
      <w:r>
        <w:t xml:space="preserve">В связи с проявлением криминальной активности на территории Ханты-Манс</w:t>
      </w:r>
      <w:r>
        <w:t xml:space="preserve">ийского автономного округа</w:t>
      </w:r>
      <w:r>
        <w:t xml:space="preserve"> </w:t>
      </w:r>
      <w:r>
        <w:t xml:space="preserve">–</w:t>
      </w:r>
      <w:r>
        <w:t xml:space="preserve"> </w:t>
      </w:r>
      <w:r>
        <w:t xml:space="preserve">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r/>
    </w:p>
    <w:p>
      <w:pPr>
        <w:ind w:firstLine="709"/>
        <w:spacing w:line="276" w:lineRule="auto"/>
      </w:pPr>
      <w:r>
        <w:t xml:space="preserve">В</w:t>
      </w:r>
      <w:r>
        <w:t xml:space="preserve">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w:t>
      </w:r>
      <w:r>
        <w:t xml:space="preserve">году УМВД России по округу в порядке ч.3 ст. 27 Федерального закона от 15.08.1996 ФЗ № 114 «О порядке выезда из Российской Федерации и въезда в Российскую Федерацию» решения</w:t>
      </w:r>
      <w:r>
        <w:t xml:space="preserve"> о неразрешении въезда </w:t>
      </w:r>
      <w:r>
        <w:t xml:space="preserve">приняты</w:t>
      </w:r>
      <w:r>
        <w:t xml:space="preserve"> в отношении 10 иностранных граждан (п.г. – 11).</w:t>
      </w:r>
      <w:r/>
    </w:p>
    <w:p>
      <w:pPr>
        <w:ind w:firstLine="709"/>
        <w:spacing w:line="276" w:lineRule="auto"/>
      </w:pPr>
      <w:r>
        <w:t xml:space="preserve">Продолжена реализация мер направленных на противодействие производству и изготовлению наркотиков на территории региона. На постоянной основе организовано взаимодействие с тран</w:t>
      </w:r>
      <w:r>
        <w:t xml:space="preserve">спортными компаниями и ФГУП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r/>
    </w:p>
    <w:p>
      <w:pPr>
        <w:ind w:firstLine="709"/>
        <w:spacing w:line="276" w:lineRule="auto"/>
      </w:pPr>
      <w:r>
        <w:t xml:space="preserve">В рамках работы по данному направлению, задокументировано 2 факта производства наркотиков в лабораторных условиях (1 – производства на территории Югры, 1 – на территории Псковской области). Изготавливаемые наркотики предназначались для незаконного </w:t>
      </w:r>
      <w:r>
        <w:t xml:space="preserve">сбыта</w:t>
      </w:r>
      <w:r>
        <w:t xml:space="preserve"> в том числе на территории Югры.</w:t>
      </w:r>
      <w:r/>
    </w:p>
    <w:p>
      <w:pPr>
        <w:ind w:firstLine="709"/>
        <w:spacing w:line="276" w:lineRule="auto"/>
      </w:pPr>
      <w:r>
        <w:t xml:space="preserve">Несмотря на то, что Хант</w:t>
      </w:r>
      <w:r>
        <w:t xml:space="preserve">ы-Мансийский автономный округ</w:t>
      </w:r>
      <w:r>
        <w:t xml:space="preserve"> </w:t>
      </w:r>
      <w:r>
        <w:t xml:space="preserve">–</w:t>
      </w:r>
      <w:r>
        <w:t xml:space="preserve"> </w:t>
      </w:r>
      <w:r>
        <w:t xml:space="preserve">Югра не является приграничным регионом, в целях профилактики и противодействия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w:t>
      </w:r>
      <w:r>
        <w:t xml:space="preserve">янной основе налажен обмен оперативно-значимой, справочно-криминалистической и иной информацией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 для</w:t>
      </w:r>
      <w:r>
        <w:t xml:space="preserve"> проведения последующих упреждающих мероприятий с Уральским таможенным управлением ФТС России.</w:t>
      </w:r>
      <w:r/>
    </w:p>
    <w:p>
      <w:pPr>
        <w:ind w:firstLine="709"/>
        <w:spacing w:line="276" w:lineRule="auto"/>
      </w:pPr>
      <w:r>
        <w:t xml:space="preserve">По результатам про</w:t>
      </w:r>
      <w:r>
        <w:t xml:space="preserve">водимых совместных оперативно-розыскных мероприятий выявлено 7 фактов (</w:t>
      </w:r>
      <w:r>
        <w:t xml:space="preserve">АППГ</w:t>
      </w:r>
      <w:r>
        <w:t xml:space="preserve"> – 3) контрабанды сильнодействующих веществ, общей массой 2 кг 841 грамм. Перекрыты каналы поступления подконтрольных веществ из-за границы: из Казахстана – 4, Индии – 2, Китая – 1.</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pStyle w:val="1652"/>
        <w:ind w:left="0" w:firstLine="709"/>
        <w:spacing w:line="240" w:lineRule="auto"/>
        <w:rPr>
          <w:i/>
          <w:sz w:val="24"/>
          <w:szCs w:val="24"/>
        </w:rPr>
      </w:pPr>
      <w:r>
        <w:rPr>
          <w:i/>
          <w:sz w:val="24"/>
          <w:szCs w:val="24"/>
        </w:rPr>
        <w:t xml:space="preserve">1. В сен</w:t>
      </w:r>
      <w:r>
        <w:rPr>
          <w:i/>
          <w:sz w:val="24"/>
          <w:szCs w:val="24"/>
        </w:rPr>
        <w:t xml:space="preserve">тябре задокументирован факт контрабандной поставки сильнодействующего вещества – прегабалин, массой 1 кг 997 грамм в г. Лангепас, посредством международного почтового отправления из Китая. По данному факту возбуждено уголовное дело по ч. 2 ст. 226.1 УК РФ.</w:t>
      </w:r>
      <w:r>
        <w:rPr>
          <w:i/>
          <w:sz w:val="24"/>
          <w:szCs w:val="24"/>
        </w:rPr>
      </w:r>
      <w:r>
        <w:rPr>
          <w:i/>
          <w:sz w:val="24"/>
          <w:szCs w:val="24"/>
        </w:rPr>
      </w:r>
    </w:p>
    <w:p>
      <w:pPr>
        <w:pStyle w:val="1652"/>
        <w:ind w:left="0" w:firstLine="709"/>
        <w:spacing w:line="240" w:lineRule="auto"/>
        <w:rPr>
          <w:i/>
          <w:sz w:val="24"/>
          <w:szCs w:val="24"/>
        </w:rPr>
      </w:pPr>
      <w:r>
        <w:rPr>
          <w:i/>
          <w:sz w:val="24"/>
          <w:szCs w:val="24"/>
        </w:rPr>
        <w:t xml:space="preserve">2. В декабре задок</w:t>
      </w:r>
      <w:r>
        <w:rPr>
          <w:i/>
          <w:sz w:val="24"/>
          <w:szCs w:val="24"/>
        </w:rPr>
        <w:t xml:space="preserve">ументирован факт контрабандной поставки сильнодействующего вещества – сибутрамин, массой 513,4 грамма в г. Югорск, посредством международного почтового отправления из Республики Казахстан. По данному факту возбуждено уголовное дело по ч. 8 ст. 226.1 УК РФ.</w:t>
      </w:r>
      <w:r>
        <w:rPr>
          <w:i/>
          <w:sz w:val="24"/>
          <w:szCs w:val="24"/>
        </w:rPr>
      </w:r>
      <w:r>
        <w:rPr>
          <w:i/>
          <w:sz w:val="24"/>
          <w:szCs w:val="24"/>
        </w:rPr>
      </w:r>
    </w:p>
    <w:p>
      <w:pPr>
        <w:ind w:firstLine="709"/>
        <w:spacing w:line="276" w:lineRule="auto"/>
      </w:pPr>
      <w:r>
        <w:t xml:space="preserve">Влияние на развитие наркоситуации в округе, лиц осужденных за совершение преступлений в сфере НОН и находящихся в учреждениях ФСИН </w:t>
      </w:r>
      <w:r>
        <w:t xml:space="preserve">России </w:t>
      </w:r>
      <w:r>
        <w:t xml:space="preserve">расположенных на территории округа, не существенно.</w:t>
      </w: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w:t>
      </w:r>
      <w:r>
        <w:rPr>
          <w:rFonts w:ascii="Times New Roman" w:hAnsi="Times New Roman" w:cs="Times New Roman"/>
          <w:sz w:val="28"/>
          <w:szCs w:val="28"/>
        </w:rPr>
        <w:t xml:space="preserve">исправительных</w:t>
      </w:r>
      <w:r>
        <w:rPr>
          <w:rFonts w:ascii="Times New Roman" w:hAnsi="Times New Roman" w:cs="Times New Roman"/>
          <w:sz w:val="28"/>
          <w:szCs w:val="28"/>
        </w:rPr>
        <w:t xml:space="preserve"> учреждения ФСИН</w:t>
      </w:r>
      <w:r>
        <w:rPr>
          <w:rFonts w:ascii="Times New Roman" w:hAnsi="Times New Roman" w:cs="Times New Roman"/>
          <w:sz w:val="28"/>
          <w:szCs w:val="28"/>
        </w:rPr>
        <w:t xml:space="preserve"> России</w:t>
      </w:r>
      <w:r>
        <w:rPr>
          <w:rFonts w:ascii="Times New Roman" w:hAnsi="Times New Roman" w:cs="Times New Roman"/>
          <w:sz w:val="28"/>
          <w:szCs w:val="28"/>
        </w:rPr>
        <w:t xml:space="preserve">:</w:t>
      </w:r>
      <w:r>
        <w:rPr>
          <w:rFonts w:ascii="Times New Roman" w:hAnsi="Times New Roman" w:cs="Times New Roman"/>
          <w:sz w:val="28"/>
          <w:szCs w:val="28"/>
        </w:rPr>
      </w:r>
      <w:r>
        <w:rPr>
          <w:rFonts w:ascii="Times New Roman" w:hAnsi="Times New Roman" w:cs="Times New Roman"/>
          <w:sz w:val="28"/>
          <w:szCs w:val="28"/>
        </w:rP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исправительная колония №11 (строгий режим)</w:t>
      </w:r>
      <w:r>
        <w:rPr>
          <w:rFonts w:ascii="Times New Roman" w:hAnsi="Times New Roman" w:cs="Times New Roman"/>
          <w:sz w:val="28"/>
          <w:szCs w:val="28"/>
        </w:rPr>
        <w:t xml:space="preserve"> в г. Сургуте, лимит наполнения составляет 1313 человек, за совершение преступлений в сфере НОН содержится 256 (</w:t>
      </w:r>
      <w:r>
        <w:rPr>
          <w:rFonts w:ascii="Times New Roman" w:hAnsi="Times New Roman" w:cs="Times New Roman"/>
          <w:sz w:val="28"/>
          <w:szCs w:val="28"/>
        </w:rPr>
        <w:t xml:space="preserve">увеличение на </w:t>
      </w:r>
      <w:r>
        <w:rPr>
          <w:rFonts w:ascii="Times New Roman" w:hAnsi="Times New Roman" w:cs="Times New Roman"/>
          <w:sz w:val="28"/>
          <w:szCs w:val="28"/>
        </w:rPr>
        <w:t xml:space="preserve">46,3%, </w:t>
      </w:r>
      <w:r>
        <w:rPr>
          <w:rFonts w:ascii="Times New Roman" w:hAnsi="Times New Roman" w:cs="Times New Roman"/>
          <w:sz w:val="28"/>
          <w:szCs w:val="28"/>
        </w:rPr>
        <w:t xml:space="preserve">АППГ</w:t>
      </w:r>
      <w:r>
        <w:rPr>
          <w:rFonts w:ascii="Times New Roman" w:hAnsi="Times New Roman" w:cs="Times New Roman"/>
          <w:sz w:val="28"/>
          <w:szCs w:val="28"/>
        </w:rPr>
        <w:t xml:space="preserve"> – 175).</w:t>
      </w:r>
      <w:r>
        <w:rPr>
          <w:rFonts w:ascii="Times New Roman" w:hAnsi="Times New Roman" w:cs="Times New Roman"/>
          <w:sz w:val="28"/>
          <w:szCs w:val="28"/>
        </w:rPr>
      </w:r>
      <w:r>
        <w:rPr>
          <w:rFonts w:ascii="Times New Roman" w:hAnsi="Times New Roman" w:cs="Times New Roman"/>
          <w:sz w:val="28"/>
          <w:szCs w:val="28"/>
        </w:rP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исправительная колония №15 (общий режим)</w:t>
      </w:r>
      <w:r>
        <w:rPr>
          <w:rFonts w:ascii="Times New Roman" w:hAnsi="Times New Roman" w:cs="Times New Roman"/>
          <w:sz w:val="28"/>
          <w:szCs w:val="28"/>
        </w:rPr>
        <w:t xml:space="preserve"> в г. Нижневартовске, лимит наполнения составляет 334 человека, за совершение преступлений в сфере НОН содержится 50 (</w:t>
      </w:r>
      <w:r>
        <w:rPr>
          <w:rFonts w:ascii="Times New Roman" w:hAnsi="Times New Roman" w:cs="Times New Roman"/>
          <w:sz w:val="28"/>
          <w:szCs w:val="28"/>
        </w:rPr>
        <w:t xml:space="preserve">снижение на </w:t>
      </w:r>
      <w:r>
        <w:rPr>
          <w:rFonts w:ascii="Times New Roman" w:hAnsi="Times New Roman" w:cs="Times New Roman"/>
          <w:sz w:val="28"/>
          <w:szCs w:val="28"/>
        </w:rPr>
        <w:t xml:space="preserve">64,3%, </w:t>
      </w:r>
      <w:r>
        <w:rPr>
          <w:rFonts w:ascii="Times New Roman" w:hAnsi="Times New Roman" w:cs="Times New Roman"/>
          <w:sz w:val="28"/>
          <w:szCs w:val="28"/>
        </w:rPr>
        <w:t xml:space="preserve">АППГ</w:t>
      </w:r>
      <w:r>
        <w:rPr>
          <w:rFonts w:ascii="Times New Roman" w:hAnsi="Times New Roman" w:cs="Times New Roman"/>
          <w:sz w:val="28"/>
          <w:szCs w:val="28"/>
        </w:rPr>
        <w:t xml:space="preserve"> – 140).</w:t>
      </w:r>
      <w:r>
        <w:rPr>
          <w:rFonts w:ascii="Times New Roman" w:hAnsi="Times New Roman" w:cs="Times New Roman"/>
          <w:sz w:val="28"/>
          <w:szCs w:val="28"/>
        </w:rPr>
      </w:r>
      <w:r>
        <w:rPr>
          <w:rFonts w:ascii="Times New Roman" w:hAnsi="Times New Roman" w:cs="Times New Roman"/>
          <w:sz w:val="28"/>
          <w:szCs w:val="28"/>
        </w:rP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лечебно-исправительное учреждение №17</w:t>
      </w:r>
      <w:r>
        <w:rPr>
          <w:rFonts w:ascii="Times New Roman" w:hAnsi="Times New Roman" w:cs="Times New Roman"/>
          <w:sz w:val="28"/>
          <w:szCs w:val="28"/>
        </w:rPr>
        <w:t xml:space="preserve"> в г. Сургуте, лимит наполнения составляет 816 человек, за совершение преступлений в сфере НОН содержится 22 (</w:t>
      </w:r>
      <w:r>
        <w:rPr>
          <w:rFonts w:ascii="Times New Roman" w:hAnsi="Times New Roman" w:cs="Times New Roman"/>
          <w:sz w:val="28"/>
          <w:szCs w:val="28"/>
        </w:rPr>
        <w:t xml:space="preserve">снижение на </w:t>
      </w:r>
      <w:r>
        <w:rPr>
          <w:rFonts w:ascii="Times New Roman" w:hAnsi="Times New Roman" w:cs="Times New Roman"/>
          <w:sz w:val="28"/>
          <w:szCs w:val="28"/>
        </w:rPr>
        <w:t xml:space="preserve">12%, 25).</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pPr>
      <w:r>
        <w:t xml:space="preserve">На конец</w:t>
      </w:r>
      <w:r>
        <w:t xml:space="preserve"> 2024 года в исправительных учреждениях У</w:t>
      </w:r>
      <w:r>
        <w:t xml:space="preserve">правления </w:t>
      </w:r>
      <w:r>
        <w:t xml:space="preserve">ФСИН России по </w:t>
      </w:r>
      <w:r>
        <w:t xml:space="preserve">автономному округу</w:t>
      </w:r>
      <w:r>
        <w:t xml:space="preserve"> за совершение преступлений в сфере НОН содержалось 328 лиц (</w:t>
      </w:r>
      <w:r>
        <w:t xml:space="preserve">снижение на </w:t>
      </w:r>
      <w:r>
        <w:t xml:space="preserve">3,5%, </w:t>
      </w:r>
      <w:r>
        <w:t xml:space="preserve">АППГ</w:t>
      </w:r>
      <w:r>
        <w:t xml:space="preserve"> – 340).</w:t>
      </w:r>
      <w:r/>
    </w:p>
    <w:p>
      <w:pPr>
        <w:ind w:firstLine="709"/>
        <w:spacing w:line="276" w:lineRule="auto"/>
      </w:pPr>
      <w:r>
        <w:t xml:space="preserve">Кроме того, в </w:t>
      </w:r>
      <w:r>
        <w:t xml:space="preserve">следственном изоляторе №1</w:t>
      </w:r>
      <w:r>
        <w:t xml:space="preserve"> У</w:t>
      </w:r>
      <w:r>
        <w:t xml:space="preserve">правления </w:t>
      </w:r>
      <w:r>
        <w:t xml:space="preserve">ФСИН России по </w:t>
      </w:r>
      <w:r>
        <w:t xml:space="preserve">автономному округу</w:t>
      </w:r>
      <w:r>
        <w:t xml:space="preserve"> в г</w:t>
      </w:r>
      <w:r>
        <w:t xml:space="preserve">.Н</w:t>
      </w:r>
      <w:r>
        <w:t xml:space="preserve">ижневартовске, за совершение преступлений в сфере НОН содержалось 164 человека (</w:t>
      </w:r>
      <w:r>
        <w:t xml:space="preserve">снижение на </w:t>
      </w:r>
      <w:r>
        <w:t xml:space="preserve">32,2%, </w:t>
      </w:r>
      <w:r>
        <w:t xml:space="preserve">АППГ</w:t>
      </w:r>
      <w:r>
        <w:t xml:space="preserve"> – 242).</w:t>
      </w: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w:t>
      </w:r>
      <w:r>
        <w:rPr>
          <w:rFonts w:ascii="Times New Roman" w:hAnsi="Times New Roman" w:cs="Times New Roman"/>
          <w:sz w:val="28"/>
          <w:szCs w:val="28"/>
        </w:rPr>
      </w:r>
      <w:r>
        <w:rPr>
          <w:rFonts w:ascii="Times New Roman" w:hAnsi="Times New Roman" w:cs="Times New Roman"/>
          <w:sz w:val="28"/>
          <w:szCs w:val="28"/>
        </w:rPr>
      </w:r>
    </w:p>
    <w:p>
      <w:pPr>
        <w:pStyle w:val="1683"/>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r>
        <w:rPr>
          <w:rFonts w:ascii="Times New Roman" w:hAnsi="Times New Roman" w:cs="Times New Roman"/>
          <w:sz w:val="28"/>
          <w:szCs w:val="28"/>
        </w:rPr>
      </w:r>
      <w:r>
        <w:rPr>
          <w:rFonts w:ascii="Times New Roman" w:hAnsi="Times New Roman" w:cs="Times New Roman"/>
          <w:sz w:val="28"/>
          <w:szCs w:val="28"/>
        </w:rPr>
      </w:r>
    </w:p>
    <w:p>
      <w:pPr>
        <w:ind w:firstLine="709"/>
        <w:spacing w:line="276" w:lineRule="auto"/>
      </w:pPr>
      <w:r>
        <w:t xml:space="preserve">Взаимодействие оперативных подразделений У</w:t>
      </w:r>
      <w:r>
        <w:t xml:space="preserve">правления </w:t>
      </w:r>
      <w:r>
        <w:t xml:space="preserve">МВД России по </w:t>
      </w:r>
      <w:r>
        <w:t xml:space="preserve">автономному округу</w:t>
      </w:r>
      <w:r>
        <w:t xml:space="preserve"> с У</w:t>
      </w:r>
      <w:r>
        <w:t xml:space="preserve">правлением </w:t>
      </w:r>
      <w:r>
        <w:t xml:space="preserve">ФСИН России по </w:t>
      </w:r>
      <w:r>
        <w:t xml:space="preserve">автономному</w:t>
      </w:r>
      <w:r>
        <w:t xml:space="preserve"> округу осуществляется в соответствии с требованиями:</w:t>
      </w:r>
      <w:r/>
    </w:p>
    <w:p>
      <w:pPr>
        <w:ind w:firstLine="709"/>
        <w:spacing w:line="276" w:lineRule="auto"/>
      </w:pPr>
      <w:r>
        <w:t xml:space="preserve">приказа МВД России и ФСИН России от 02</w:t>
      </w:r>
      <w:r>
        <w:t xml:space="preserve">.06.20</w:t>
      </w:r>
      <w:r>
        <w:t xml:space="preserve">14 №039/012 «О мерах по совершенствованию взаимодействия оперативных подразделений органов МВД России на региональном уровне и оперативных подразделений </w:t>
      </w:r>
      <w:r>
        <w:t xml:space="preserve">УФСИН России по субъектам Российской Федерации, следственных изоляторов»;</w:t>
      </w:r>
      <w:r/>
    </w:p>
    <w:p>
      <w:pPr>
        <w:ind w:firstLine="709"/>
        <w:spacing w:line="276" w:lineRule="auto"/>
      </w:pPr>
      <w:r>
        <w:t xml:space="preserve">приказа МВД России и МЮ России от 11</w:t>
      </w:r>
      <w:r>
        <w:t xml:space="preserve">.09.</w:t>
      </w:r>
      <w:r>
        <w:t xml:space="preserve">1998 №0010/4сс «Об организации взаимодействия органов внутренних дел Российской Федерации и учреждений органов уголовно-исполнительной системы Министерства юстиции Российской Федерации в сфере оперативно-розыскной деятельности»;</w:t>
      </w:r>
      <w:r/>
    </w:p>
    <w:p>
      <w:pPr>
        <w:ind w:firstLine="709"/>
        <w:spacing w:line="276" w:lineRule="auto"/>
      </w:pPr>
      <w:r>
        <w:t xml:space="preserve">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2024 год №2/1/120А-85с от 10.01.2024.</w:t>
      </w:r>
      <w:r/>
    </w:p>
    <w:p>
      <w:pPr>
        <w:ind w:firstLine="709"/>
        <w:spacing w:line="276" w:lineRule="auto"/>
      </w:pPr>
      <w:r>
        <w:t xml:space="preserve">В 2024 году, в результате проведения совместных разработок </w:t>
      </w:r>
      <w:r>
        <w:t xml:space="preserve">пресечено 4 попытки поставок наркотических средств в учреждения ФСИН</w:t>
      </w:r>
      <w:r>
        <w:t xml:space="preserve"> России</w:t>
      </w:r>
      <w:r>
        <w:t xml:space="preserve"> (</w:t>
      </w:r>
      <w:r>
        <w:t xml:space="preserve">АППГ</w:t>
      </w:r>
      <w:r>
        <w:t xml:space="preserve"> – 4), зарегистрировано и возбуждено 4 наркопреступления (</w:t>
      </w:r>
      <w:r>
        <w:t xml:space="preserve">АППГ</w:t>
      </w:r>
      <w:r>
        <w:t xml:space="preserve"> – 4). Общая масса изъятых по данным фактам запрещённых веществ составила 666,29 грамма (</w:t>
      </w:r>
      <w:r>
        <w:t xml:space="preserve">АППГ</w:t>
      </w:r>
      <w:r>
        <w:t xml:space="preserve"> – 28,64 грамма).</w:t>
      </w:r>
      <w:r/>
    </w:p>
    <w:p>
      <w:pPr>
        <w:ind w:firstLine="709"/>
        <w:spacing w:line="276" w:lineRule="auto"/>
      </w:pPr>
      <w:r>
        <w:t xml:space="preserve">Неотъемлемым элементом профилактики наркопреступности остается работа по выявлению и пресечению административных правонарушений, связанных с незаконным оборотом наркотиков.</w:t>
      </w:r>
      <w:r/>
    </w:p>
    <w:p>
      <w:pPr>
        <w:ind w:firstLine="709"/>
        <w:spacing w:line="276" w:lineRule="auto"/>
      </w:pPr>
      <w:r>
        <w:t xml:space="preserve">В </w:t>
      </w:r>
      <w:r>
        <w:t xml:space="preserve">2024 год</w:t>
      </w:r>
      <w:r>
        <w:t xml:space="preserve">у</w:t>
      </w:r>
      <w:r>
        <w:t xml:space="preserve"> органами внутренних дел округа </w:t>
      </w:r>
      <w:r>
        <w:rPr>
          <w:rStyle w:val="1658"/>
          <w:rFonts w:ascii="Times New Roman" w:hAnsi="Times New Roman"/>
          <w:sz w:val="28"/>
        </w:rPr>
        <w:t xml:space="preserve">в качестве превентивных мер </w:t>
      </w:r>
      <w:r>
        <w:t xml:space="preserve">пресечено 2388 (</w:t>
      </w:r>
      <w:r>
        <w:t xml:space="preserve">увеличение на </w:t>
      </w:r>
      <w:r>
        <w:t xml:space="preserve">10,9%, </w:t>
      </w:r>
      <w:r>
        <w:t xml:space="preserve">АППГ</w:t>
      </w:r>
      <w:r>
        <w:t xml:space="preserve"> – 2153) административных правонарушений, в том числе:</w:t>
      </w:r>
      <w:r/>
    </w:p>
    <w:p>
      <w:pPr>
        <w:ind w:firstLine="709"/>
        <w:spacing w:line="276" w:lineRule="auto"/>
      </w:pPr>
      <w:r>
        <w:t xml:space="preserve">по ст. 6.8 КоАП РФ (</w:t>
      </w:r>
      <w:r>
        <w:t xml:space="preserve">х</w:t>
      </w:r>
      <w:r>
        <w:t xml:space="preserve">ранение наркотиков) – 101 (</w:t>
      </w:r>
      <w:r>
        <w:t xml:space="preserve">увеличение на </w:t>
      </w:r>
      <w:r>
        <w:t xml:space="preserve">16,1%, </w:t>
      </w:r>
      <w:r>
        <w:t xml:space="preserve">АППГ</w:t>
      </w:r>
      <w:r>
        <w:t xml:space="preserve"> – 87) правонарушение;</w:t>
      </w:r>
      <w:r/>
    </w:p>
    <w:p>
      <w:pPr>
        <w:ind w:firstLine="709"/>
        <w:spacing w:line="276" w:lineRule="auto"/>
      </w:pPr>
      <w:r>
        <w:t xml:space="preserve">по ст. 6.9 КоАП РФ (</w:t>
      </w:r>
      <w:r>
        <w:t xml:space="preserve">п</w:t>
      </w:r>
      <w:r>
        <w:t xml:space="preserve">отребление наркотиков) – 1764 (</w:t>
      </w:r>
      <w:r>
        <w:t xml:space="preserve">увеличение на </w:t>
      </w:r>
      <w:r>
        <w:t xml:space="preserve">14,4%, </w:t>
      </w:r>
      <w:r>
        <w:t xml:space="preserve">АППГ</w:t>
      </w:r>
      <w:r>
        <w:t xml:space="preserve"> – 1542) правонарушения;</w:t>
      </w:r>
      <w:r/>
    </w:p>
    <w:p>
      <w:pPr>
        <w:ind w:firstLine="709"/>
        <w:spacing w:line="276" w:lineRule="auto"/>
      </w:pPr>
      <w:r>
        <w:t xml:space="preserve">по ст. 6.13 КоАП РФ (</w:t>
      </w:r>
      <w:r>
        <w:t xml:space="preserve">п</w:t>
      </w:r>
      <w:r>
        <w:t xml:space="preserve">ропаганда наркотических средств) – 40 (</w:t>
      </w:r>
      <w:r>
        <w:t xml:space="preserve">увеличение на </w:t>
      </w:r>
      <w:r>
        <w:t xml:space="preserve">166,7%, </w:t>
      </w:r>
      <w:r>
        <w:t xml:space="preserve">АППГ</w:t>
      </w:r>
      <w:r>
        <w:t xml:space="preserve"> – 15) правонарушений;</w:t>
      </w:r>
      <w:r/>
    </w:p>
    <w:p>
      <w:pPr>
        <w:ind w:firstLine="709"/>
        <w:spacing w:line="276" w:lineRule="auto"/>
      </w:pPr>
      <w:r>
        <w:t xml:space="preserve">по ст. 6.16 КоАП РФ (</w:t>
      </w:r>
      <w:r>
        <w:t xml:space="preserve">н</w:t>
      </w:r>
      <w:r>
        <w:t xml:space="preserve">арушение правил оборота наркотических средств) – 1 (</w:t>
      </w:r>
      <w:r>
        <w:t xml:space="preserve">АППГ</w:t>
      </w:r>
      <w:r>
        <w:t xml:space="preserve"> – 0) правонарушение;</w:t>
      </w:r>
      <w:r/>
    </w:p>
    <w:p>
      <w:pPr>
        <w:ind w:firstLine="709"/>
        <w:spacing w:line="276" w:lineRule="auto"/>
      </w:pPr>
      <w:r>
        <w:t xml:space="preserve">по ст. 10.5.1 КоАП РФ (</w:t>
      </w:r>
      <w:r>
        <w:t xml:space="preserve">н</w:t>
      </w:r>
      <w:r>
        <w:t xml:space="preserve">езаконное культивирование наркосодержащих растений) – 3 (</w:t>
      </w:r>
      <w:r>
        <w:t xml:space="preserve">снижение на </w:t>
      </w:r>
      <w:r>
        <w:t xml:space="preserve">76,9%, </w:t>
      </w:r>
      <w:r>
        <w:t xml:space="preserve">АППГ</w:t>
      </w:r>
      <w:r>
        <w:t xml:space="preserve"> – 13) правонарушения; </w:t>
      </w:r>
      <w:r/>
    </w:p>
    <w:p>
      <w:pPr>
        <w:ind w:firstLine="709"/>
        <w:spacing w:line="276" w:lineRule="auto"/>
      </w:pPr>
      <w:r>
        <w:t xml:space="preserve">по ст. 12.8 ч. 1, 3 КоАП РФ (</w:t>
      </w:r>
      <w:r>
        <w:t xml:space="preserve">у</w:t>
      </w:r>
      <w:r>
        <w:t xml:space="preserve">правление транспортным средством водителем, находящимся в состоянии опьянения (наркотического) – 183 (</w:t>
      </w:r>
      <w:r>
        <w:t xml:space="preserve">АППГ</w:t>
      </w:r>
      <w:r>
        <w:t xml:space="preserve"> – 189) правонарушения; </w:t>
      </w:r>
      <w:r/>
    </w:p>
    <w:p>
      <w:pPr>
        <w:ind w:firstLine="709"/>
        <w:spacing w:line="276" w:lineRule="auto"/>
      </w:pPr>
      <w:r>
        <w:t xml:space="preserve">по ст. 20.20 ч.ч. 2,3 КоАП РФ (</w:t>
      </w:r>
      <w:r>
        <w:t xml:space="preserve">п</w:t>
      </w:r>
      <w:r>
        <w:t xml:space="preserve">отребление НС и ПВ в общественных местах) – 51 (</w:t>
      </w:r>
      <w:r>
        <w:t xml:space="preserve">АППГ</w:t>
      </w:r>
      <w:r>
        <w:t xml:space="preserve"> – 56) правонарушение;</w:t>
      </w:r>
      <w:r/>
    </w:p>
    <w:p>
      <w:pPr>
        <w:ind w:firstLine="709"/>
        <w:spacing w:line="276" w:lineRule="auto"/>
      </w:pPr>
      <w:r>
        <w:t xml:space="preserve">по ст. 20.22 КоАП РФ (</w:t>
      </w:r>
      <w:r>
        <w:t xml:space="preserve">н</w:t>
      </w:r>
      <w:r>
        <w:t xml:space="preserve">ахождение в состоянии опьянения (наркотического) несовершеннолетнего) – 9 (</w:t>
      </w:r>
      <w:r>
        <w:t xml:space="preserve">АППГ</w:t>
      </w:r>
      <w:r>
        <w:t xml:space="preserve"> – 1) правонарушений.</w:t>
      </w:r>
      <w:r/>
    </w:p>
    <w:p>
      <w:pPr>
        <w:ind w:firstLine="709"/>
        <w:spacing w:line="276" w:lineRule="auto"/>
      </w:pPr>
      <w:r>
        <w:t xml:space="preserve">Важной составляющей оперативно-служебной деятельности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w:t>
      </w:r>
      <w:r>
        <w:t xml:space="preserve">.11.</w:t>
      </w:r>
      <w:r>
        <w:t xml:space="preserve">2013 №313-ФЗ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w:t>
      </w:r>
      <w:r>
        <w:t xml:space="preserve">на лиц обязанности пройти диагностику, профилактические мероприятия, лечение от</w:t>
      </w:r>
      <w:r>
        <w:t xml:space="preserve"> наркомании и (или) социальную реабилитацию</w:t>
      </w:r>
      <w:r>
        <w:t xml:space="preserve">.</w:t>
      </w:r>
      <w:r/>
    </w:p>
    <w:p>
      <w:pPr>
        <w:ind w:firstLine="709"/>
        <w:spacing w:line="276" w:lineRule="auto"/>
      </w:pPr>
      <w:r>
        <w:t xml:space="preserve">По состоянию на 31.12.2024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w:t>
      </w:r>
      <w:r>
        <w:t xml:space="preserve">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668 лица (</w:t>
      </w:r>
      <w:r>
        <w:t xml:space="preserve">АППГ</w:t>
      </w:r>
      <w:r>
        <w:t xml:space="preserve"> – 804), в отношении которых в производстве находится 784 накопительных дел (</w:t>
      </w:r>
      <w:r>
        <w:t xml:space="preserve">АППГ</w:t>
      </w:r>
      <w:r>
        <w:t xml:space="preserve"> – 918), по </w:t>
      </w:r>
      <w:r>
        <w:t xml:space="preserve">которым</w:t>
      </w:r>
      <w:r>
        <w:t xml:space="preserve">: исполняют возложенные обязанности – 138 (</w:t>
      </w:r>
      <w:r>
        <w:t xml:space="preserve">(</w:t>
      </w:r>
      <w:r>
        <w:t xml:space="preserve">АППГ</w:t>
      </w:r>
      <w:r>
        <w:t xml:space="preserve"> – 177), уклоняются от исполнения обязанностей – 530 </w:t>
      </w:r>
      <w:r>
        <w:br/>
      </w:r>
      <w:r>
        <w:t xml:space="preserve">снижение на </w:t>
      </w:r>
      <w:r>
        <w:t xml:space="preserve">22%, </w:t>
      </w:r>
      <w:r>
        <w:t xml:space="preserve">АППГ</w:t>
      </w:r>
      <w:r>
        <w:t xml:space="preserve"> – 682), содержатся в местах лишения свободы и СИЗО – 61 (</w:t>
      </w:r>
      <w:r>
        <w:t xml:space="preserve">АППГ</w:t>
      </w:r>
      <w:r>
        <w:t xml:space="preserve"> – 59), находятся в зоне СВО – 44.</w:t>
      </w:r>
      <w:r/>
    </w:p>
    <w:p>
      <w:pPr>
        <w:ind w:firstLine="709"/>
        <w:spacing w:line="240" w:lineRule="auto"/>
        <w:rPr>
          <w:i/>
          <w:sz w:val="24"/>
          <w:szCs w:val="24"/>
        </w:rPr>
      </w:pPr>
      <w:r>
        <w:rPr>
          <w:i/>
          <w:sz w:val="24"/>
          <w:szCs w:val="24"/>
        </w:rPr>
        <w:t xml:space="preserve">Справочно: </w:t>
      </w:r>
      <w:r>
        <w:rPr>
          <w:i/>
          <w:sz w:val="24"/>
          <w:szCs w:val="24"/>
        </w:rPr>
      </w:r>
      <w:r>
        <w:rPr>
          <w:i/>
          <w:sz w:val="24"/>
          <w:szCs w:val="24"/>
        </w:rPr>
      </w:r>
    </w:p>
    <w:p>
      <w:pPr>
        <w:ind w:firstLine="709"/>
        <w:spacing w:line="240" w:lineRule="auto"/>
        <w:rPr>
          <w:i/>
          <w:sz w:val="24"/>
          <w:szCs w:val="24"/>
        </w:rPr>
      </w:pPr>
      <w:r>
        <w:rPr>
          <w:i/>
          <w:sz w:val="24"/>
          <w:szCs w:val="24"/>
        </w:rPr>
        <w:t xml:space="preserve">не привлеченными к административной ответственности по ст. 6.9.1 КоАП РФ остаются 83 лица (п.г. – 109), уклоняющихся от возложенной обязанности, у которых срок привлечения по ст. 6.9.1 КоАП РФ не истек.</w:t>
      </w:r>
      <w:r>
        <w:rPr>
          <w:i/>
          <w:sz w:val="24"/>
          <w:szCs w:val="24"/>
        </w:rPr>
      </w:r>
      <w:r>
        <w:rPr>
          <w:i/>
          <w:sz w:val="24"/>
          <w:szCs w:val="24"/>
        </w:rPr>
      </w:r>
    </w:p>
    <w:p>
      <w:pPr>
        <w:ind w:firstLine="709"/>
        <w:spacing w:line="276" w:lineRule="auto"/>
      </w:pPr>
      <w:r>
        <w:t xml:space="preserve">В течение отчетного периода, по результатам рассмотрения дел об административных правонарушениях, принято 438 (</w:t>
      </w:r>
      <w:r>
        <w:t xml:space="preserve">снижение на </w:t>
      </w:r>
      <w:r>
        <w:t xml:space="preserve">19,3%, </w:t>
      </w:r>
      <w:r>
        <w:t xml:space="preserve">АППГ</w:t>
      </w:r>
      <w:r>
        <w:t xml:space="preserve"> – 543) решений в порядке ч.2.</w:t>
      </w:r>
      <w:r>
        <w:t xml:space="preserve">1 статьи 4.1 КоАП РФ о возложении обязанностей, заведено 508 (</w:t>
      </w:r>
      <w:r>
        <w:t xml:space="preserve">АППГ</w:t>
      </w:r>
      <w:r>
        <w:t xml:space="preserve"> – 532) накопительных дел (с учетом решений суда, вынесенных в 2023 году и вступивших в законную силу в 2024 году) по исполнению обязанности прохождения реабилитации и ресоциализации.</w:t>
      </w:r>
      <w:r/>
    </w:p>
    <w:p>
      <w:pPr>
        <w:ind w:firstLine="709"/>
        <w:spacing w:line="276" w:lineRule="auto"/>
      </w:pPr>
      <w:r>
        <w:t xml:space="preserve">Прекращено в отчетном периоде 642 накопительных дела (</w:t>
      </w:r>
      <w:r>
        <w:t xml:space="preserve">АППГ</w:t>
      </w:r>
      <w:r>
        <w:t xml:space="preserve"> – 661), из них:</w:t>
      </w:r>
      <w:r/>
    </w:p>
    <w:p>
      <w:pPr>
        <w:ind w:firstLine="709"/>
        <w:spacing w:line="276" w:lineRule="auto"/>
      </w:pPr>
      <w:r>
        <w:t xml:space="preserve">в связи с завершением исполнения возложенной судом обязанности – 275 (</w:t>
      </w:r>
      <w:r>
        <w:t xml:space="preserve">снижение на </w:t>
      </w:r>
      <w:r>
        <w:t xml:space="preserve">24,4%, </w:t>
      </w:r>
      <w:r>
        <w:t xml:space="preserve">АППГ</w:t>
      </w:r>
      <w:r>
        <w:t xml:space="preserve"> – 364);</w:t>
      </w:r>
      <w:r/>
    </w:p>
    <w:p>
      <w:pPr>
        <w:ind w:firstLine="709"/>
        <w:spacing w:line="276" w:lineRule="auto"/>
      </w:pPr>
      <w:r>
        <w:t xml:space="preserve">в связи с решением судьи об отмене исполнения обязанности по ходатайству ОВД – 320 (</w:t>
      </w:r>
      <w:r>
        <w:t xml:space="preserve">АППГ</w:t>
      </w:r>
      <w:r>
        <w:t xml:space="preserve"> – 250);</w:t>
      </w:r>
      <w:r/>
    </w:p>
    <w:p>
      <w:pPr>
        <w:ind w:firstLine="709"/>
        <w:spacing w:line="276" w:lineRule="auto"/>
      </w:pPr>
      <w:r>
        <w:t xml:space="preserve">в связи со смертью лица – 36 (</w:t>
      </w:r>
      <w:r>
        <w:t xml:space="preserve">АППГ</w:t>
      </w:r>
      <w:r>
        <w:t xml:space="preserve"> – 39);</w:t>
      </w:r>
      <w:r/>
    </w:p>
    <w:p>
      <w:pPr>
        <w:ind w:firstLine="709"/>
        <w:spacing w:line="276" w:lineRule="auto"/>
      </w:pPr>
      <w:r>
        <w:t xml:space="preserve">в связи со сменой места жительства в отношении лиц, поменявших постоянное место жительства за пределами округа – 11 (</w:t>
      </w:r>
      <w:r>
        <w:t xml:space="preserve">АППГ</w:t>
      </w:r>
      <w:r>
        <w:t xml:space="preserve"> – 8).</w:t>
      </w:r>
      <w:r/>
    </w:p>
    <w:p>
      <w:pPr>
        <w:ind w:firstLine="709"/>
        <w:spacing w:line="276" w:lineRule="auto"/>
      </w:pPr>
      <w:r>
        <w:t xml:space="preserve">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w:t>
      </w:r>
      <w:r>
        <w:t xml:space="preserve">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составлено 236 протоколов (</w:t>
      </w:r>
      <w:r>
        <w:t xml:space="preserve">АППГ</w:t>
      </w:r>
      <w:r>
        <w:t xml:space="preserve"> – 250).</w:t>
      </w:r>
      <w:r/>
    </w:p>
    <w:p>
      <w:pPr>
        <w:ind w:firstLine="709"/>
        <w:spacing w:line="276" w:lineRule="auto"/>
      </w:pPr>
      <w:r>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w:t>
      </w:r>
      <w:r>
        <w:t xml:space="preserve">,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w:t>
      </w:r>
      <w:r>
        <w:t xml:space="preserve">участковыми уполномоченными полиции и инспекторами по делам несовершеннолетних</w:t>
      </w:r>
      <w:r>
        <w:t xml:space="preserve"> ведется индивидуально-про</w:t>
      </w:r>
      <w:r>
        <w:t xml:space="preserve">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r/>
    </w:p>
    <w:p>
      <w:pPr>
        <w:ind w:firstLine="709"/>
        <w:spacing w:line="276" w:lineRule="auto"/>
      </w:pPr>
      <w:r>
        <w:t xml:space="preserve">На учете в ОВД по кат</w:t>
      </w:r>
      <w:r>
        <w:t xml:space="preserve">егории «лица больные наркоманией, состоящие на учете в медицинской организации и представляющие опасность для окружающих» состояло 12 (</w:t>
      </w:r>
      <w:r>
        <w:t xml:space="preserve">АППГ</w:t>
      </w:r>
      <w:r>
        <w:t xml:space="preserve"> – 59) человек, в отношении данных граждан </w:t>
      </w:r>
      <w:r>
        <w:t xml:space="preserve">участковыми уполномоченными полиции</w:t>
      </w:r>
      <w:r>
        <w:t xml:space="preserve"> организована индивидуально-профилактическая работа.</w:t>
      </w:r>
      <w:r/>
    </w:p>
    <w:p>
      <w:pPr>
        <w:ind w:firstLine="709"/>
        <w:spacing w:line="276" w:lineRule="auto"/>
        <w:rPr>
          <w:rFonts w:eastAsia="TimesNewRomanPSMT"/>
        </w:rPr>
      </w:pPr>
      <w:r>
        <w:t xml:space="preserve">В отношении указанной категории граждан </w:t>
      </w:r>
      <w:r>
        <w:rPr>
          <w:rFonts w:eastAsia="TimesNewRomanPSMT"/>
        </w:rPr>
        <w:t xml:space="preserve">участковыми уполномоченными полиции проведено 352 проверки (</w:t>
      </w:r>
      <w:r>
        <w:rPr>
          <w:rFonts w:eastAsia="TimesNewRomanPSMT"/>
        </w:rPr>
        <w:t xml:space="preserve">АППГ</w:t>
      </w:r>
      <w:r>
        <w:rPr>
          <w:rFonts w:eastAsia="TimesNewRomanPSMT"/>
        </w:rPr>
        <w:t xml:space="preserve"> – 347), в ходе которых проведены профилакти</w:t>
      </w:r>
      <w:r>
        <w:rPr>
          <w:rFonts w:eastAsia="TimesNewRomanPSMT"/>
        </w:rPr>
        <w:t xml:space="preserve">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r>
        <w:rPr>
          <w:rFonts w:eastAsia="TimesNewRomanPSMT"/>
        </w:rPr>
      </w:r>
      <w:r>
        <w:rPr>
          <w:rFonts w:eastAsia="TimesNewRomanPSMT"/>
        </w:rPr>
      </w:r>
    </w:p>
    <w:p>
      <w:pPr>
        <w:ind w:firstLine="709"/>
        <w:spacing w:line="276" w:lineRule="auto"/>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w:t>
      </w:r>
      <w:r>
        <w:rPr>
          <w:rFonts w:eastAsia="TimesNewRomanPSMT"/>
        </w:rPr>
        <w:t xml:space="preserve">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w:t>
      </w:r>
      <w:r>
        <w:rPr>
          <w:rFonts w:eastAsia="TimesNewRomanPSMT"/>
        </w:rPr>
        <w:t xml:space="preserve">тыс. </w:t>
      </w:r>
      <w:r>
        <w:rPr>
          <w:rFonts w:eastAsia="TimesNewRomanPSMT"/>
        </w:rPr>
        <w:t xml:space="preserve">(794057) квартир и домовладений</w:t>
      </w:r>
      <w:r>
        <w:rPr>
          <w:rFonts w:eastAsia="TimesNewRomanPSMT"/>
        </w:rPr>
        <w:t xml:space="preserve">.</w:t>
      </w:r>
      <w:r>
        <w:rPr>
          <w:rFonts w:eastAsia="TimesNewRomanPSMT"/>
        </w:rPr>
      </w:r>
      <w:r>
        <w:rPr>
          <w:rFonts w:eastAsia="TimesNewRomanPSMT"/>
        </w:rPr>
      </w:r>
    </w:p>
    <w:p>
      <w:pPr>
        <w:ind w:firstLine="709"/>
        <w:spacing w:line="276" w:lineRule="auto"/>
        <w:rPr>
          <w:rFonts w:eastAsia="TimesNewRomanPSMT"/>
        </w:rPr>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r>
      <w:r>
        <w:rPr>
          <w:rFonts w:eastAsia="TimesNewRomanPSMT"/>
        </w:rPr>
      </w:r>
    </w:p>
    <w:p>
      <w:pPr>
        <w:ind w:firstLine="709"/>
        <w:spacing w:line="276" w:lineRule="auto"/>
      </w:pPr>
      <w:r>
        <w:t xml:space="preserve">На профилакти</w:t>
      </w:r>
      <w:r>
        <w:t xml:space="preserve">ческом учете ОДН территориальных органов внутренних дел состоит 1171 (</w:t>
      </w:r>
      <w:r>
        <w:t xml:space="preserve">увеличение на </w:t>
      </w:r>
      <w:r>
        <w:t xml:space="preserve">4,4%, </w:t>
      </w:r>
      <w:r>
        <w:t xml:space="preserve">АППГ</w:t>
      </w:r>
      <w:r>
        <w:t xml:space="preserve"> – 1122) несовершеннолетний, из них: в связи с потреблением наркотических средств – 19 (</w:t>
      </w:r>
      <w:r>
        <w:t xml:space="preserve">увеличение на </w:t>
      </w:r>
      <w:r>
        <w:t xml:space="preserve">90%, </w:t>
      </w:r>
      <w:r>
        <w:t xml:space="preserve">АППГ</w:t>
      </w:r>
      <w:r>
        <w:t xml:space="preserve"> – 10), в связи с потреблением токсических веществ – 3 (</w:t>
      </w:r>
      <w:r>
        <w:t xml:space="preserve">АППГ</w:t>
      </w:r>
      <w:r>
        <w:t xml:space="preserve"> – 8).   </w:t>
      </w:r>
      <w:r/>
    </w:p>
    <w:p>
      <w:pPr>
        <w:ind w:firstLine="709"/>
        <w:spacing w:line="276" w:lineRule="auto"/>
      </w:pPr>
      <w:r>
        <w:t xml:space="preserve">В течение </w:t>
      </w:r>
      <w:r>
        <w:t xml:space="preserve">2024 </w:t>
      </w:r>
      <w:r>
        <w:t xml:space="preserve">года на учет было поставлено 1282 (</w:t>
      </w:r>
      <w:r>
        <w:t xml:space="preserve">АППГ</w:t>
      </w:r>
      <w:r>
        <w:t xml:space="preserve"> – 1215) подростка-правонарушителя, в том числе: в связи с потреблением наркотических средств – 11 (</w:t>
      </w:r>
      <w:r>
        <w:t xml:space="preserve">АППГ</w:t>
      </w:r>
      <w:r>
        <w:t xml:space="preserve"> – 4), в связи с токсикоманией – 5 (</w:t>
      </w:r>
      <w:r>
        <w:t xml:space="preserve">АППГ</w:t>
      </w:r>
      <w:r>
        <w:t xml:space="preserve"> – 6). </w:t>
      </w:r>
      <w:r/>
    </w:p>
    <w:p>
      <w:pPr>
        <w:ind w:firstLine="709"/>
        <w:spacing w:line="276" w:lineRule="auto"/>
        <w:rPr>
          <w:rFonts w:eastAsia="Arial Unicode MS"/>
        </w:rPr>
      </w:pPr>
      <w:r>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w:t>
      </w:r>
      <w:r>
        <w:t xml:space="preserve">енных полиции по хроническим алкоголикам и наркоманам, состоящим на учете и имеющим несовершеннолетних детей, в течение 2024 года выявлен и поставлен</w:t>
      </w:r>
      <w:r>
        <w:t xml:space="preserve">ы</w:t>
      </w:r>
      <w:r>
        <w:t xml:space="preserve"> на учет 668 (</w:t>
      </w:r>
      <w:r>
        <w:t xml:space="preserve">АППГ</w:t>
      </w:r>
      <w:r>
        <w:t xml:space="preserve"> – 781) родителей, в том числе за употребление наркотических средств 1 (</w:t>
      </w:r>
      <w:r>
        <w:t xml:space="preserve">АППГ -</w:t>
      </w:r>
      <w:r>
        <w:t xml:space="preserve"> 4).</w:t>
      </w:r>
      <w:r>
        <w:rPr>
          <w:rFonts w:eastAsia="Arial Unicode MS"/>
        </w:rPr>
      </w:r>
      <w:r>
        <w:rPr>
          <w:rFonts w:eastAsia="Arial Unicode MS"/>
        </w:rPr>
      </w:r>
    </w:p>
    <w:p>
      <w:pPr>
        <w:ind w:firstLine="709"/>
        <w:spacing w:line="276" w:lineRule="auto"/>
      </w:pPr>
      <w:r>
        <w:t xml:space="preserve">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w:t>
      </w:r>
      <w:r>
        <w:t xml:space="preserve"> обследование в порядке ст. 44 Федерального закона от 08.01.1998 №3-ФЗ «О наркотических средствах и психотропных веществах» направлено 105 (</w:t>
      </w:r>
      <w:r>
        <w:t xml:space="preserve">АППГ</w:t>
      </w:r>
      <w:r>
        <w:t xml:space="preserve"> – 101) несовершеннолетних и 85 (</w:t>
      </w:r>
      <w:r>
        <w:t xml:space="preserve">АППГ</w:t>
      </w:r>
      <w:r>
        <w:t xml:space="preserve"> – 100) родителей, из них: 8 (</w:t>
      </w:r>
      <w:r>
        <w:t xml:space="preserve">АППГ</w:t>
      </w:r>
      <w:r>
        <w:t xml:space="preserve"> – 21) подростков и 12</w:t>
      </w:r>
      <w:r>
        <w:t xml:space="preserve"> (</w:t>
      </w:r>
      <w:r>
        <w:t xml:space="preserve">АППГ</w:t>
      </w:r>
      <w:r>
        <w:t xml:space="preserve"> – 18) взрослых прошли курс лечения в наркологических учреждениях.</w:t>
      </w:r>
      <w:r/>
    </w:p>
    <w:p>
      <w:pPr>
        <w:ind w:firstLine="709"/>
        <w:spacing w:line="276" w:lineRule="auto"/>
      </w:pPr>
      <w:r>
        <w:t xml:space="preserve">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 направленных на профилактику 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rPr>
          <w:highlight w:val="yellow"/>
        </w:rPr>
      </w:pPr>
      <w:r>
        <w:rPr>
          <w:highlight w:val="yellow"/>
        </w:rPr>
      </w:r>
      <w:r>
        <w:rPr>
          <w:highlight w:val="yellow"/>
        </w:rPr>
      </w:r>
      <w:r>
        <w:rPr>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81" w:lineRule="auto"/>
        <w:rPr>
          <w:b/>
        </w:rPr>
        <w:outlineLvl w:val="1"/>
      </w:pPr>
      <w:r>
        <w:rPr>
          <w:b/>
        </w:rP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rPr>
          <w:b/>
        </w:rPr>
      </w:r>
      <w:r>
        <w:rPr>
          <w:b/>
        </w:rPr>
      </w:r>
    </w:p>
    <w:p>
      <w:pPr>
        <w:ind w:firstLine="709"/>
        <w:spacing w:line="281" w:lineRule="auto"/>
        <w:rPr>
          <w:b/>
        </w:rPr>
        <w:outlineLvl w:val="1"/>
      </w:pPr>
      <w:r>
        <w:rPr>
          <w:b/>
        </w:rPr>
      </w:r>
      <w:r>
        <w:rPr>
          <w:b/>
        </w:rPr>
      </w:r>
      <w:r>
        <w:rPr>
          <w:b/>
        </w:rPr>
      </w:r>
    </w:p>
    <w:p>
      <w:pPr>
        <w:ind w:firstLine="709"/>
        <w:spacing w:line="281" w:lineRule="auto"/>
        <w:rPr>
          <w:b/>
          <w:highlight w:val="white"/>
        </w:rPr>
        <w:outlineLvl w:val="1"/>
      </w:pPr>
      <w:r>
        <w:rPr>
          <w:bCs/>
          <w:highlight w:val="white"/>
        </w:rPr>
        <w:t xml:space="preserve">В</w:t>
      </w:r>
      <w:r>
        <w:rPr>
          <w:bCs/>
          <w:highlight w:val="white"/>
        </w:rPr>
        <w:t xml:space="preserve"> 202</w:t>
      </w:r>
      <w:r>
        <w:rPr>
          <w:bCs/>
          <w:highlight w:val="white"/>
        </w:rPr>
        <w:t xml:space="preserve">4</w:t>
      </w:r>
      <w:r>
        <w:rPr>
          <w:bCs/>
          <w:highlight w:val="white"/>
        </w:rPr>
        <w:t xml:space="preserve"> году </w:t>
      </w:r>
      <w:r>
        <w:rPr>
          <w:bCs/>
          <w:highlight w:val="white"/>
        </w:rPr>
        <w:t xml:space="preserve">на территории региона действовали следующие </w:t>
      </w:r>
      <w:r>
        <w:rPr>
          <w:b/>
          <w:bCs/>
          <w:i/>
          <w:highlight w:val="white"/>
        </w:rPr>
        <w:t xml:space="preserve">государственные программы </w:t>
      </w:r>
      <w:r>
        <w:rPr>
          <w:b/>
          <w:i/>
          <w:highlight w:val="white"/>
        </w:rPr>
        <w:t xml:space="preserve">Ханты-Мансийского автономного округа – Югры</w:t>
      </w:r>
      <w:r>
        <w:rPr>
          <w:b/>
          <w:i/>
          <w:highlight w:val="white"/>
        </w:rPr>
        <w:t xml:space="preserve"> </w:t>
      </w:r>
      <w:r>
        <w:rPr>
          <w:highlight w:val="white"/>
        </w:rPr>
        <w:t xml:space="preserve">(далее также – Программы)</w:t>
      </w:r>
      <w:r>
        <w:rPr>
          <w:highlight w:val="white"/>
        </w:rPr>
        <w:t xml:space="preserve">, в рамках которых осуществляются антинаркотические мероприятия</w:t>
      </w:r>
      <w:r>
        <w:rPr>
          <w:bCs/>
          <w:highlight w:val="white"/>
        </w:rPr>
        <w:t xml:space="preserve">:</w:t>
      </w:r>
      <w:r>
        <w:rPr>
          <w:b/>
          <w:highlight w:val="white"/>
        </w:rPr>
      </w:r>
      <w:r>
        <w:rPr>
          <w:b/>
          <w:highlight w:val="white"/>
        </w:rPr>
      </w:r>
    </w:p>
    <w:p>
      <w:pPr>
        <w:ind w:firstLine="709"/>
        <w:spacing w:line="278" w:lineRule="auto"/>
        <w:widowControl w:val="off"/>
        <w:rPr>
          <w:highlight w:val="white"/>
        </w:rPr>
      </w:pPr>
      <w:r>
        <w:rPr>
          <w:highlight w:val="white"/>
        </w:rPr>
        <w:t xml:space="preserve">1) Постановление Правительства Ханты-Мансийского автономного </w:t>
      </w:r>
      <w:r>
        <w:rPr>
          <w:highlight w:val="white"/>
        </w:rPr>
        <w:br/>
        <w:t xml:space="preserve">округа – Югры от </w:t>
      </w:r>
      <w:r>
        <w:rPr>
          <w:highlight w:val="white"/>
        </w:rPr>
        <w:t xml:space="preserve">10.11.2023 № 543-п </w:t>
      </w:r>
      <w:r>
        <w:rPr>
          <w:highlight w:val="white"/>
        </w:rPr>
        <w:t xml:space="preserve">«</w:t>
      </w:r>
      <w:r>
        <w:rPr>
          <w:highlight w:val="white"/>
        </w:rPr>
        <w:t xml:space="preserve">О государственной программе Ханты-Мансийского автономного округа – Югры «</w:t>
      </w:r>
      <w:r>
        <w:rPr>
          <w:i/>
          <w:highlight w:val="white"/>
        </w:rPr>
        <w:t xml:space="preserve">Безопасность жизнедеятельности и профилактика правонарушений</w:t>
      </w:r>
      <w:r>
        <w:rPr>
          <w:highlight w:val="white"/>
        </w:rPr>
        <w:t xml:space="preserve">».</w:t>
      </w:r>
      <w:r>
        <w:rPr>
          <w:highlight w:val="white"/>
        </w:rPr>
      </w:r>
      <w:r>
        <w:rPr>
          <w:highlight w:val="white"/>
        </w:rPr>
      </w:r>
    </w:p>
    <w:p>
      <w:pPr>
        <w:ind w:firstLine="709"/>
        <w:spacing w:line="281" w:lineRule="auto"/>
        <w:widowControl w:val="off"/>
        <w:rPr>
          <w:highlight w:val="white"/>
        </w:rPr>
      </w:pPr>
      <w:r>
        <w:rPr>
          <w:highlight w:val="white"/>
        </w:rPr>
        <w:t xml:space="preserve">Ответственный исполнитель государственной программы – </w:t>
      </w:r>
      <w:r>
        <w:rPr>
          <w:highlight w:val="white"/>
        </w:rPr>
        <w:t xml:space="preserve">Департамент региональной безопасности Ханты-Мансийского автономного округа – Югры.</w:t>
      </w:r>
      <w:r>
        <w:rPr>
          <w:highlight w:val="white"/>
        </w:rPr>
      </w:r>
      <w:r>
        <w:rPr>
          <w:highlight w:val="white"/>
        </w:rPr>
      </w:r>
    </w:p>
    <w:p>
      <w:pPr>
        <w:ind w:firstLine="709"/>
        <w:spacing w:line="281" w:lineRule="auto"/>
        <w:rPr>
          <w:highlight w:val="white"/>
        </w:rPr>
      </w:pPr>
      <w:r>
        <w:rPr>
          <w:highlight w:val="white"/>
        </w:rPr>
        <w:t xml:space="preserve">2) </w:t>
      </w:r>
      <w:r>
        <w:rPr>
          <w:highlight w:val="white"/>
        </w:rPr>
        <w:t xml:space="preserve">Постановление Правительства </w:t>
      </w:r>
      <w:r>
        <w:rPr>
          <w:highlight w:val="white"/>
        </w:rPr>
        <w:t xml:space="preserve">Ханты-Мансийского автономного </w:t>
      </w:r>
      <w:r>
        <w:rPr>
          <w:highlight w:val="white"/>
        </w:rPr>
        <w:br/>
        <w:t xml:space="preserve">округа – Югры</w:t>
      </w:r>
      <w:r>
        <w:rPr>
          <w:highlight w:val="white"/>
        </w:rPr>
        <w:t xml:space="preserve"> от 10.11.2023 № 558-п  «О государственной программе </w:t>
        <w:br/>
        <w:t xml:space="preserve">Ханты-Мансийского автономного округа – Югры </w:t>
      </w:r>
      <w:r>
        <w:rPr>
          <w:i/>
          <w:highlight w:val="white"/>
        </w:rPr>
        <w:t xml:space="preserve">«Современное здравоохранение»</w:t>
      </w:r>
      <w:r>
        <w:rPr>
          <w:i/>
          <w:highlight w:val="white"/>
        </w:rPr>
        <w:t xml:space="preserve">.</w:t>
      </w:r>
      <w:r>
        <w:rPr>
          <w:highlight w:val="white"/>
        </w:rPr>
      </w:r>
      <w:r>
        <w:rPr>
          <w:highlight w:val="white"/>
        </w:rPr>
      </w:r>
    </w:p>
    <w:p>
      <w:pPr>
        <w:ind w:firstLine="709"/>
        <w:spacing w:line="281" w:lineRule="auto"/>
        <w:widowControl w:val="off"/>
        <w:rPr>
          <w:highlight w:val="white"/>
        </w:rPr>
      </w:pPr>
      <w:r>
        <w:rPr>
          <w:highlight w:val="white"/>
        </w:rPr>
        <w:t xml:space="preserve">Ответственный исполнитель государственной программы – Департамент здравоохранения автономного округа.</w:t>
      </w:r>
      <w:r>
        <w:rPr>
          <w:highlight w:val="white"/>
        </w:rPr>
      </w:r>
      <w:r>
        <w:rPr>
          <w:highlight w:val="white"/>
        </w:rPr>
      </w:r>
    </w:p>
    <w:p>
      <w:pPr>
        <w:ind w:firstLine="709"/>
        <w:spacing w:line="281" w:lineRule="auto"/>
        <w:rPr>
          <w:highlight w:val="white"/>
        </w:rPr>
      </w:pPr>
      <w:r>
        <w:rPr>
          <w:highlight w:val="white"/>
        </w:rPr>
        <w:t xml:space="preserve">3</w:t>
      </w:r>
      <w:r>
        <w:rPr>
          <w:highlight w:val="white"/>
        </w:rPr>
        <w:t xml:space="preserve">) Постановление Правительства Ханты-Мансийского автономного округа – Югры от </w:t>
      </w:r>
      <w:r>
        <w:rPr>
          <w:highlight w:val="white"/>
        </w:rPr>
        <w:t xml:space="preserve">10.11.2023 </w:t>
      </w:r>
      <w:r>
        <w:rPr>
          <w:highlight w:val="white"/>
        </w:rPr>
        <w:t xml:space="preserve">№</w:t>
      </w:r>
      <w:r>
        <w:rPr>
          <w:highlight w:val="white"/>
        </w:rPr>
        <w:t xml:space="preserve"> 550-п</w:t>
      </w:r>
      <w:r>
        <w:rPr>
          <w:highlight w:val="white"/>
        </w:rPr>
        <w:t xml:space="preserve"> </w:t>
      </w:r>
      <w:r>
        <w:rPr>
          <w:highlight w:val="white"/>
        </w:rPr>
        <w:t xml:space="preserve">«О государственной программе Ханты-Мансийского автономного округа – Югры </w:t>
      </w:r>
      <w:r>
        <w:rPr>
          <w:i/>
          <w:highlight w:val="white"/>
        </w:rPr>
        <w:t xml:space="preserve">«Развитие образования»</w:t>
      </w:r>
      <w:r>
        <w:rPr>
          <w:highlight w:val="white"/>
        </w:rPr>
        <w:t xml:space="preserve">.</w:t>
      </w:r>
      <w:r>
        <w:rPr>
          <w:highlight w:val="white"/>
        </w:rPr>
      </w:r>
      <w:r>
        <w:rPr>
          <w:highlight w:val="white"/>
        </w:rPr>
      </w:r>
    </w:p>
    <w:p>
      <w:pPr>
        <w:ind w:firstLine="709"/>
        <w:spacing w:line="281" w:lineRule="auto"/>
        <w:widowControl w:val="off"/>
        <w:rPr>
          <w:highlight w:val="white"/>
        </w:rPr>
      </w:pPr>
      <w:r>
        <w:rPr>
          <w:highlight w:val="white"/>
        </w:rPr>
        <w:t xml:space="preserve">Ответственный исполнитель государственной программы – Департамент образования и науки автономного округа.</w:t>
      </w:r>
      <w:r>
        <w:rPr>
          <w:highlight w:val="white"/>
        </w:rPr>
      </w:r>
      <w:r>
        <w:rPr>
          <w:highlight w:val="white"/>
        </w:rPr>
      </w:r>
    </w:p>
    <w:p>
      <w:pPr>
        <w:ind w:firstLine="709"/>
        <w:spacing w:line="278" w:lineRule="auto"/>
        <w:widowControl w:val="off"/>
        <w:rPr>
          <w:highlight w:val="white"/>
        </w:rPr>
      </w:pPr>
      <w:r>
        <w:rPr>
          <w:highlight w:val="white"/>
        </w:rPr>
        <w:t xml:space="preserve">Соисполнитель государственной программы – Департамент здравоохранения автономного округа.</w:t>
      </w:r>
      <w:r>
        <w:rPr>
          <w:highlight w:val="white"/>
        </w:rPr>
      </w:r>
      <w:r>
        <w:rPr>
          <w:highlight w:val="white"/>
        </w:rPr>
      </w:r>
    </w:p>
    <w:p>
      <w:pPr>
        <w:ind w:firstLine="709"/>
        <w:spacing w:line="278" w:lineRule="auto"/>
        <w:widowControl w:val="off"/>
        <w:rPr>
          <w:highlight w:val="yellow"/>
        </w:rPr>
      </w:pPr>
      <w:r>
        <w:rPr>
          <w:highlight w:val="yellow"/>
        </w:rPr>
      </w:r>
      <w:r>
        <w:rPr>
          <w:highlight w:val="yellow"/>
        </w:rPr>
      </w:r>
      <w:r>
        <w:rPr>
          <w:highlight w:val="yellow"/>
        </w:rPr>
      </w:r>
    </w:p>
    <w:p>
      <w:pPr>
        <w:ind w:firstLine="709"/>
        <w:rPr>
          <w:i/>
        </w:rPr>
      </w:pPr>
      <w:r>
        <w:rPr>
          <w:i/>
        </w:rPr>
        <w:t xml:space="preserve">Оценка р</w:t>
      </w:r>
      <w:r>
        <w:rPr>
          <w:i/>
        </w:rPr>
        <w:t xml:space="preserve">еализаци</w:t>
      </w:r>
      <w:r>
        <w:rPr>
          <w:i/>
        </w:rPr>
        <w:t xml:space="preserve">и</w:t>
      </w:r>
      <w:r>
        <w:rPr>
          <w:i/>
        </w:rPr>
        <w:t xml:space="preserve"> государственных программ автономного округа, в рамках которых осуществляются антинаркотические мероприятия</w:t>
      </w:r>
      <w:r>
        <w:rPr>
          <w:i/>
        </w:rPr>
        <w:t xml:space="preserve">, по направлению здравоохранения</w:t>
      </w:r>
      <w:r>
        <w:rPr>
          <w:i/>
        </w:rPr>
      </w:r>
      <w:r>
        <w:rPr>
          <w:i/>
        </w:rPr>
      </w:r>
    </w:p>
    <w:p>
      <w:pPr>
        <w:ind w:firstLine="709"/>
        <w:spacing w:line="276" w:lineRule="auto"/>
      </w:pPr>
      <w:r>
        <w:t xml:space="preserve">В</w:t>
      </w:r>
      <w:r>
        <w:t xml:space="preserve"> рамках</w:t>
      </w:r>
      <w:r>
        <w:rPr>
          <w:i/>
        </w:rPr>
        <w:t xml:space="preserve"> </w:t>
      </w:r>
      <w:r>
        <w:rPr>
          <w:b/>
          <w:i/>
        </w:rPr>
        <w:t xml:space="preserve">государственной программы Ханты-Мансийского автономного округа – Югры «Безопасность жизнедеятельности и профилактика правонарушений</w:t>
      </w:r>
      <w:r>
        <w:rPr>
          <w:b/>
          <w:i/>
        </w:rPr>
        <w:t xml:space="preserve">. </w:t>
      </w:r>
      <w:r>
        <w:t xml:space="preserve">В 2024 году объем бюджетных ассигнований программы составил 4 650,0 тыс. рублей. Заключено контрактов на сумму 4 649,99 тыс. рублей. </w:t>
      </w:r>
      <w:r/>
    </w:p>
    <w:p>
      <w:pPr>
        <w:pStyle w:val="1661"/>
        <w:ind w:firstLine="709"/>
        <w:jc w:val="both"/>
        <w:spacing w:after="0" w:line="276" w:lineRule="auto"/>
        <w:rPr>
          <w:sz w:val="28"/>
          <w:szCs w:val="28"/>
        </w:rPr>
      </w:pPr>
      <w:r>
        <w:rPr>
          <w:sz w:val="28"/>
          <w:szCs w:val="28"/>
        </w:rPr>
        <w:t xml:space="preserve">В рамках Комплекса процессных мероприятий </w:t>
      </w:r>
      <w:r>
        <w:rPr>
          <w:sz w:val="28"/>
          <w:szCs w:val="28"/>
          <w:lang w:val="ru-RU"/>
        </w:rPr>
        <w:t xml:space="preserve">«</w:t>
      </w:r>
      <w:r>
        <w:rPr>
          <w:sz w:val="28"/>
          <w:szCs w:val="28"/>
        </w:rPr>
        <w:t xml:space="preserve">Профилактика незаконного оборота и потребления наркотических средств и психотропных </w:t>
      </w:r>
      <w:r>
        <w:rPr>
          <w:sz w:val="28"/>
          <w:szCs w:val="28"/>
        </w:rPr>
        <w:t xml:space="preserve">веществ</w:t>
      </w:r>
      <w:r>
        <w:rPr>
          <w:sz w:val="28"/>
          <w:szCs w:val="28"/>
          <w:lang w:val="ru-RU"/>
        </w:rPr>
        <w:t xml:space="preserve">»</w:t>
      </w:r>
      <w:r>
        <w:rPr>
          <w:sz w:val="28"/>
          <w:szCs w:val="28"/>
        </w:rPr>
        <w:t xml:space="preserve"> реализуется мероприятие по противодействию злоупотреблению наркотиками и их незаконному обороту.</w:t>
      </w:r>
      <w:r>
        <w:rPr>
          <w:sz w:val="28"/>
          <w:szCs w:val="28"/>
        </w:rPr>
      </w:r>
      <w:r>
        <w:rPr>
          <w:sz w:val="28"/>
          <w:szCs w:val="28"/>
        </w:rPr>
      </w:r>
    </w:p>
    <w:p>
      <w:pPr>
        <w:pStyle w:val="1661"/>
        <w:ind w:firstLine="709"/>
        <w:jc w:val="both"/>
        <w:spacing w:after="0" w:line="276" w:lineRule="auto"/>
        <w:rPr>
          <w:sz w:val="28"/>
          <w:szCs w:val="28"/>
        </w:rPr>
      </w:pPr>
      <w:r>
        <w:rPr>
          <w:sz w:val="28"/>
          <w:szCs w:val="28"/>
        </w:rPr>
        <w:t xml:space="preserve">Запланировано финансовых средств 4 650,0 тыс. руб., исполнено 100,0% (4 649,99 тыс. руб.).</w:t>
      </w:r>
      <w:r>
        <w:rPr>
          <w:sz w:val="28"/>
          <w:szCs w:val="28"/>
        </w:rPr>
      </w:r>
      <w:r>
        <w:rPr>
          <w:sz w:val="28"/>
          <w:szCs w:val="28"/>
        </w:rPr>
      </w:r>
    </w:p>
    <w:p>
      <w:pPr>
        <w:ind w:firstLine="709"/>
        <w:spacing w:line="276" w:lineRule="auto"/>
        <w:rPr>
          <w:szCs w:val="20"/>
        </w:rPr>
      </w:pPr>
      <w:r>
        <w:rPr>
          <w:szCs w:val="20"/>
        </w:rPr>
        <w:t xml:space="preserve">Осуществлено обновление методического обеспечения для анализа биологических объектов, включающего библиотеки масс-спектров </w:t>
      </w:r>
      <w:r>
        <w:rPr>
          <w:szCs w:val="20"/>
        </w:rPr>
        <w:t xml:space="preserve">с</w:t>
      </w:r>
      <w:r>
        <w:rPr>
          <w:szCs w:val="20"/>
        </w:rPr>
        <w:t xml:space="preserve"> временами хроматографического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w:t>
      </w:r>
      <w:r>
        <w:rPr>
          <w:szCs w:val="20"/>
        </w:rPr>
        <w:t xml:space="preserve">оматографа с тандемным масс-спектрометрическим детектором в количестве 1 ед. в пяти специализированных психоневрологических больницах автономного округа; приобретено  медицинское оборудование (анализатор для фотофиксации и анализа иммунохроматоргафических </w:t>
      </w:r>
      <w:r>
        <w:rPr>
          <w:szCs w:val="20"/>
        </w:rPr>
        <w:t xml:space="preserve">экспресс-тестов</w:t>
      </w:r>
      <w:r>
        <w:rPr>
          <w:szCs w:val="20"/>
        </w:rPr>
        <w:t xml:space="preserve"> </w:t>
      </w:r>
      <w:r>
        <w:rPr>
          <w:szCs w:val="20"/>
        </w:rPr>
        <w:t xml:space="preserve">«</w:t>
      </w:r>
      <w:r>
        <w:rPr>
          <w:szCs w:val="20"/>
        </w:rPr>
        <w:t xml:space="preserve">АМ-900</w:t>
      </w:r>
      <w:r>
        <w:rPr>
          <w:szCs w:val="20"/>
        </w:rPr>
        <w:t xml:space="preserve">»</w:t>
      </w:r>
      <w:r>
        <w:rPr>
          <w:szCs w:val="20"/>
        </w:rPr>
        <w:t xml:space="preserve">)</w:t>
      </w:r>
      <w:r>
        <w:rPr>
          <w:szCs w:val="20"/>
        </w:rPr>
        <w:t xml:space="preserve"> в количестве 2 ед., приобретены: реагенты и системы для раннего выявления наркотических и психотропных веществ в количестве 1682 ед., приобретены реагенты диагностические, для лиц, находящихся под надзором системы исполнения наказания в количестве 250 ед.</w:t>
      </w:r>
      <w:r>
        <w:rPr>
          <w:szCs w:val="20"/>
        </w:rPr>
      </w:r>
      <w:r>
        <w:rPr>
          <w:szCs w:val="20"/>
        </w:rPr>
      </w:r>
    </w:p>
    <w:p>
      <w:pPr>
        <w:ind w:firstLine="709"/>
        <w:spacing w:line="276" w:lineRule="auto"/>
        <w:tabs>
          <w:tab w:val="left" w:pos="6645" w:leader="none"/>
        </w:tabs>
      </w:pPr>
      <w:r>
        <w:t xml:space="preserve">В</w:t>
      </w:r>
      <w:r>
        <w:t xml:space="preserve"> рамках</w:t>
      </w:r>
      <w:r>
        <w:rPr>
          <w:i/>
        </w:rPr>
        <w:t xml:space="preserve"> </w:t>
      </w:r>
      <w:r>
        <w:rPr>
          <w:b/>
          <w:i/>
        </w:rPr>
        <w:t xml:space="preserve">государственной программы автономного округа «Современное здравоохранение</w:t>
      </w:r>
      <w:r>
        <w:rPr>
          <w:b/>
          <w:i/>
        </w:rPr>
        <w:t xml:space="preserve">»</w:t>
      </w:r>
      <w:r>
        <w:rPr>
          <w:b/>
          <w:i/>
        </w:rPr>
        <w:t xml:space="preserve">. </w:t>
      </w:r>
      <w:r>
        <w:t xml:space="preserve">В рамках реализации государственной программы в 2024 году объем бюджетных ассигнований составил 6 402,5 тыс. рублей. Заключено контрактов на сумму 6 401,1</w:t>
      </w:r>
      <w:r>
        <w:rPr>
          <w:szCs w:val="20"/>
        </w:rPr>
        <w:t xml:space="preserve"> тыс. рублей</w:t>
      </w:r>
      <w:r>
        <w:t xml:space="preserve">.</w:t>
      </w:r>
      <w:r/>
    </w:p>
    <w:p>
      <w:pPr>
        <w:ind w:firstLine="709"/>
      </w:pPr>
      <w:r>
        <w:t xml:space="preserve">В последние годы основополагающее направление в реализаци</w:t>
      </w:r>
      <w:r>
        <w:t xml:space="preserve">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r/>
    </w:p>
    <w:p>
      <w:pPr>
        <w:ind w:firstLine="709"/>
        <w:tabs>
          <w:tab w:val="left" w:pos="6645" w:leader="none"/>
        </w:tabs>
      </w:pPr>
      <w:r>
        <w:t xml:space="preserve">В</w:t>
      </w:r>
      <w:r>
        <w:t xml:space="preserve"> рамках Комплекса процессных мероприятий </w:t>
      </w:r>
      <w:r>
        <w:t xml:space="preserve">«</w:t>
      </w:r>
      <w:r>
        <w:t xml:space="preserve">Организация оказания медици</w:t>
      </w:r>
      <w:r>
        <w:t xml:space="preserve">нской помощи населению Ханты-Мансийского автономного округа – Югры</w:t>
      </w:r>
      <w:r>
        <w:t xml:space="preserve">»</w:t>
      </w:r>
      <w:r>
        <w:t xml:space="preserve"> реализуется мероприятие по противодействию злоупотреблению наркотиками и их незаконному обороту, запланировано финансовых средств 1 280,0 тыс. руб., исполнено 100,0% (1 279,93 тыс. руб.). </w:t>
      </w:r>
      <w:r/>
    </w:p>
    <w:p>
      <w:pPr>
        <w:ind w:firstLine="709"/>
      </w:pPr>
      <w:r>
        <w:rPr>
          <w:szCs w:val="20"/>
        </w:rPr>
        <w:t xml:space="preserve">Приобретены реагенты медицинские диагностические (</w:t>
      </w:r>
      <w:r>
        <w:rPr>
          <w:szCs w:val="20"/>
        </w:rPr>
        <w:t xml:space="preserve">тест-панели</w:t>
      </w:r>
      <w:r>
        <w:rPr>
          <w:szCs w:val="20"/>
        </w:rPr>
        <w:t xml:space="preserve"> на определение «катинонов» в моче) в количестве 1 290 шт., </w:t>
      </w:r>
      <w:r>
        <w:t xml:space="preserve">для проведения экспертных исследований в области определения состояний опьянения у лиц, употребивших психоактивные вещества; медицинский расходный материал для проведения химико-токсикологических исследований в количестве 30 032 усл.ед.</w:t>
      </w:r>
      <w:r/>
    </w:p>
    <w:p>
      <w:pPr>
        <w:ind w:firstLine="709"/>
        <w:tabs>
          <w:tab w:val="left" w:pos="6645" w:leader="none"/>
        </w:tabs>
      </w:pPr>
      <w:r>
        <w:t xml:space="preserve">Комплекс </w:t>
      </w:r>
      <w:r>
        <w:t xml:space="preserve">процессных мероприятий </w:t>
      </w:r>
      <w:r>
        <w:t xml:space="preserve">«</w:t>
      </w:r>
      <w:r>
        <w:t xml:space="preserve">Создание условий для оказания медицинской помощи населению. Укрепление и модернизация материально-технической базы медицинских организаций</w:t>
      </w:r>
      <w:r>
        <w:t xml:space="preserve">»</w:t>
      </w:r>
      <w:r>
        <w:t xml:space="preserve">, запланировано финансовых средств 5 122,5 тыс. руб., исполнено 100,0 % (5 121,16 тыс. руб.).</w:t>
      </w:r>
      <w:r/>
    </w:p>
    <w:p>
      <w:pPr>
        <w:ind w:firstLine="709"/>
        <w:tabs>
          <w:tab w:val="left" w:pos="6645" w:leader="none"/>
        </w:tabs>
      </w:pPr>
      <w:r>
        <w:t xml:space="preserve">Приобретено медицинское оборудование: </w:t>
      </w:r>
      <w:r>
        <w:t xml:space="preserve">Анализатор паров этанола в выдыхаемом воздухе «Tigon» в количестве 15 шт., Портативный электрокардиограф в количестве 4 шт., Дефибриллятор в количестве 2 шт., Центрифуга лабораторная в количестве 1 шт., Шк</w:t>
      </w:r>
      <w:r>
        <w:t xml:space="preserve">аф вытяжной в количестве 1 шт.; химические реактивы для медицинского применения в количестве 45 шт., расходный материал для медицинского применения для проведения химико-токсикологических исследований в количестве 67 усл.ед., медицинский расходный материал</w:t>
      </w:r>
      <w:r>
        <w:t xml:space="preserve">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w:t>
      </w:r>
      <w:r>
        <w:rPr>
          <w:szCs w:val="20"/>
        </w:rPr>
        <w:t xml:space="preserve"> 41 100 шт.,</w:t>
      </w:r>
      <w:r>
        <w:t xml:space="preserve"> комплектующие и запасные части к медицинскому оборудованию (для проведения химико-токсикологических исследований) в количестве 43 усл.ед.</w:t>
      </w:r>
      <w:r/>
    </w:p>
    <w:p>
      <w:pPr>
        <w:ind w:firstLine="709"/>
        <w:tabs>
          <w:tab w:val="left" w:pos="6645" w:leader="none"/>
        </w:tabs>
      </w:pPr>
      <w:r>
        <w:t xml:space="preserve">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w:t>
      </w:r>
      <w:r>
        <w:t xml:space="preserve">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r/>
    </w:p>
    <w:p>
      <w:pPr>
        <w:ind w:firstLine="709"/>
      </w:pPr>
      <w:r>
        <w:t xml:space="preserve">В рамках реализации </w:t>
      </w:r>
      <w:r>
        <w:rPr>
          <w:b/>
          <w:bCs/>
          <w:i/>
          <w:iCs/>
        </w:rPr>
        <w:t xml:space="preserve">государственной программы </w:t>
      </w:r>
      <w:r>
        <w:rPr>
          <w:b/>
          <w:bCs/>
          <w:i/>
          <w:iCs/>
        </w:rPr>
        <w:br/>
        <w:t xml:space="preserve">Ханты-Мансийского автономного </w:t>
      </w:r>
      <w:r>
        <w:rPr>
          <w:b/>
          <w:bCs/>
          <w:i/>
          <w:iCs/>
        </w:rPr>
        <w:t xml:space="preserve">округа – Югры</w:t>
      </w:r>
      <w:r>
        <w:rPr>
          <w:b/>
          <w:i/>
        </w:rPr>
        <w:t xml:space="preserve"> «Развитие образования»</w:t>
      </w:r>
      <w:r>
        <w:t xml:space="preserve"> в 2024 году объем бюджетных ассигнований составил 2000,0 тыс. рублей. Заключено контрактов на сумму 1 999,99 тыс. рублей. </w:t>
      </w:r>
      <w:r/>
    </w:p>
    <w:p>
      <w:pPr>
        <w:ind w:firstLine="709"/>
        <w:tabs>
          <w:tab w:val="left" w:pos="6645" w:leader="none"/>
        </w:tabs>
      </w:pPr>
      <w:r>
        <w:t xml:space="preserve">Комплекс процессных мероприятий </w:t>
      </w:r>
      <w:r>
        <w:t xml:space="preserve">"Содействие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запланировано финансовых средств 2000,00 тыс. руб., исполнено 100,0% (1 999,99 тыс. руб.).</w:t>
      </w:r>
      <w:r/>
    </w:p>
    <w:p>
      <w:pPr>
        <w:ind w:firstLine="709"/>
      </w:pPr>
      <w:r>
        <w:t xml:space="preserve">Приобретены расходные материалы для системы капиллярного электрофореза многофункциональной </w:t>
      </w:r>
      <w:r>
        <w:rPr>
          <w:lang w:val="en-US"/>
        </w:rPr>
        <w:t xml:space="preserve">MiniCap</w:t>
      </w:r>
      <w:r>
        <w:t xml:space="preserve"> в количестве 2 наборов, </w:t>
      </w:r>
      <w:r>
        <w:rPr>
          <w:szCs w:val="20"/>
        </w:rPr>
        <w:t xml:space="preserve">реагенты медицинские диагностические (</w:t>
      </w:r>
      <w:r>
        <w:t xml:space="preserve">тест-панели для выявления наркотических веществ) в количестве 1452 ед., реагенты диагностические на определение антигенов к ВИЧ/гепатитам</w:t>
      </w:r>
      <w:r>
        <w:t xml:space="preserve"> В</w:t>
      </w:r>
      <w:r>
        <w:t xml:space="preserve"> и С в количестве 32 наборов. </w:t>
      </w:r>
      <w:r/>
    </w:p>
    <w:p>
      <w:pPr>
        <w:ind w:firstLine="709"/>
        <w:rPr>
          <w:i/>
        </w:rPr>
      </w:pPr>
      <w:r>
        <w:rPr>
          <w:i/>
        </w:rPr>
      </w:r>
      <w:r>
        <w:rPr>
          <w:i/>
        </w:rPr>
      </w:r>
      <w:r>
        <w:rPr>
          <w:i/>
        </w:rPr>
      </w:r>
    </w:p>
    <w:p>
      <w:pPr>
        <w:ind w:firstLine="709"/>
        <w:spacing w:line="276" w:lineRule="auto"/>
      </w:pPr>
      <w:r>
        <w:rPr>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i/>
          <w:lang w:bidi="ru-RU"/>
        </w:rPr>
        <w:t xml:space="preserve">Департамент</w:t>
      </w:r>
      <w:r>
        <w:rPr>
          <w:rFonts w:eastAsia="Arial Unicode MS"/>
          <w:i/>
          <w:lang w:bidi="ru-RU"/>
        </w:rPr>
        <w:t xml:space="preserve">а</w:t>
      </w:r>
      <w:r>
        <w:rPr>
          <w:rFonts w:eastAsia="Arial Unicode MS"/>
          <w:i/>
          <w:lang w:bidi="ru-RU"/>
        </w:rPr>
        <w:t xml:space="preserve"> культуры Ханты-Мансийского автономного округа – Югры</w:t>
      </w:r>
      <w:r>
        <w:rPr>
          <w:rFonts w:eastAsia="Arial Unicode MS"/>
          <w:i/>
          <w:lang w:bidi="ru-RU"/>
        </w:rPr>
        <w:t xml:space="preserve">.</w:t>
      </w:r>
      <w:r>
        <w:rPr>
          <w:rFonts w:eastAsia="Arial Unicode MS"/>
          <w:b/>
          <w:i/>
          <w:lang w:bidi="ru-RU"/>
        </w:rPr>
        <w:t xml:space="preserve"> </w:t>
      </w:r>
      <w:r/>
    </w:p>
    <w:p>
      <w:pPr>
        <w:ind w:firstLine="709"/>
        <w:spacing w:line="276" w:lineRule="auto"/>
      </w:pPr>
      <w:r>
        <w:t xml:space="preserve">Департамент и подведомственные ему учреждения являются соисполнителями по двум пунктам программы </w:t>
      </w:r>
      <w:r>
        <w:rPr>
          <w:b w:val="0"/>
          <w:bCs w:val="0"/>
          <w:i w:val="0"/>
          <w:iCs w:val="0"/>
        </w:rPr>
        <w:t xml:space="preserve">«Безопасность жизнедеятельности и профилактика правонарушений»</w:t>
      </w:r>
      <w:r>
        <w:rPr>
          <w:b w:val="0"/>
          <w:bCs w:val="0"/>
          <w:i w:val="0"/>
          <w:iCs w:val="0"/>
        </w:rPr>
        <w:t xml:space="preserve">:</w:t>
      </w:r>
      <w:r/>
    </w:p>
    <w:p>
      <w:pPr>
        <w:ind w:firstLine="709"/>
        <w:spacing w:line="276" w:lineRule="auto"/>
      </w:pPr>
      <w:r>
        <w:rPr>
          <w:lang w:val="en-US"/>
        </w:rPr>
        <w:t xml:space="preserve">I</w:t>
      </w:r>
      <w:r>
        <w:t xml:space="preserve">. Профилактика незаконного оборота и потребления наркотических средств и психотропных веществ</w:t>
      </w:r>
      <w:r>
        <w:t xml:space="preserve">:</w:t>
      </w:r>
      <w:r/>
    </w:p>
    <w:p>
      <w:pPr>
        <w:ind w:firstLine="709"/>
        <w:spacing w:line="276" w:lineRule="auto"/>
        <w:pBdr>
          <w:top w:val="none" w:color="000000" w:sz="4" w:space="0"/>
          <w:left w:val="none" w:color="000000" w:sz="4" w:space="0"/>
          <w:bottom w:val="none" w:color="000000" w:sz="4" w:space="0"/>
          <w:right w:val="none" w:color="000000" w:sz="4" w:space="0"/>
        </w:pBdr>
      </w:pPr>
      <w:r>
        <w:t xml:space="preserve">1) 31.05.2024 для жителей и гостей г. Ханты-Мансийска </w:t>
      </w:r>
      <w:r>
        <w:br/>
        <w:t xml:space="preserve">в Музее геологии, нефти и газа прошел бесплатный фестиваль «Формул</w:t>
      </w:r>
      <w:r>
        <w:t xml:space="preserve">а здоровья», направленный на укрепление здоровья, повышение общественного значения традиционных семейных ценностей, вовлечение детей и молодежи, а также членов их семей в систематические занятия физической культурой и спортом, совершенствование их досуга. </w:t>
      </w:r>
      <w:r/>
    </w:p>
    <w:p>
      <w:pPr>
        <w:ind w:firstLine="709"/>
        <w:spacing w:line="276" w:lineRule="auto"/>
        <w:pBdr>
          <w:top w:val="none" w:color="000000" w:sz="4" w:space="0"/>
          <w:left w:val="none" w:color="000000" w:sz="4" w:space="0"/>
          <w:bottom w:val="none" w:color="000000" w:sz="4" w:space="0"/>
          <w:right w:val="none" w:color="000000" w:sz="4" w:space="0"/>
        </w:pBdr>
      </w:pPr>
      <w:r>
        <w:t xml:space="preserve">Для посетителей музея работали больше 10 интерактивных площадок: творческие мастер-классы, занятия с профильными медицинскими специалистами, </w:t>
      </w:r>
      <w:r>
        <w:t xml:space="preserve">физкульт-минутки</w:t>
      </w:r>
      <w:r>
        <w:t xml:space="preserve">, зарядки, челленджи, эстафеты, скандинавская ходьба, VR-показы и ещё множество музейных </w:t>
      </w:r>
      <w:r>
        <w:br/>
        <w:t xml:space="preserve">и партнёрских мероприятий в поддержку здорового образа жизни. </w:t>
      </w:r>
      <w:r>
        <w:rPr>
          <w:color w:val="000000"/>
        </w:rPr>
        <w:t xml:space="preserve">Основная категория участников фестиваля – воспитанники пришкольных лагерей, дети младшего школьного возраста. Количество участников составило </w:t>
      </w:r>
      <w:r>
        <w:rPr>
          <w:color w:val="000000"/>
        </w:rPr>
        <w:br/>
        <w:t xml:space="preserve">510 человек. </w:t>
      </w:r>
      <w:r/>
    </w:p>
    <w:p>
      <w:pPr>
        <w:ind w:firstLine="709"/>
        <w:spacing w:line="276" w:lineRule="auto"/>
      </w:pPr>
      <w:r>
        <w:t xml:space="preserve">2) С октября по декабрь 2024 года в г. Ханты-Мансийске прошли мероприятия культурно-просветительского молодежного проекта </w:t>
      </w:r>
      <w:r>
        <w:br/>
        <w:t xml:space="preserve">«Ар</w:t>
      </w:r>
      <w:r>
        <w:t xml:space="preserve">т-Мол». В рамках мероприятия проведена творческая акция «Рисуя музыку», музыкальная программа «Музыканты против наркотиков», реализован конкурс антинаркотических рисунков среди подростков «Мир без наркотиков», организована творческая лаборатория «Молодежь </w:t>
      </w:r>
      <w:r>
        <w:br/>
        <w:t xml:space="preserve">за здоровое искусство!», выставка «Правое полушарие».</w:t>
      </w:r>
      <w:r/>
    </w:p>
    <w:p>
      <w:pPr>
        <w:ind w:firstLine="709"/>
        <w:spacing w:line="276" w:lineRule="auto"/>
      </w:pPr>
      <w:r>
        <w:t xml:space="preserve">В рамках творческой лаборатории «Молодежь за здоровое искусство!» была организована запись серии подкастов и проведены специальная музыкальная программа и творческая акция при участии молодых людей. Каждый подкаст помимо интересных </w:t>
      </w:r>
      <w:r>
        <w:t xml:space="preserve">фактов о</w:t>
      </w:r>
      <w:r>
        <w:t xml:space="preserve"> культурных событиях содержит пропаганду здорового образа жизни, а молодые люди, участники </w:t>
      </w:r>
      <w:r>
        <w:t xml:space="preserve">проекта, личным примером должны показать преимущества жизни без наркотиков.</w:t>
      </w:r>
      <w:r/>
    </w:p>
    <w:p>
      <w:pPr>
        <w:ind w:firstLine="709"/>
        <w:spacing w:line="276" w:lineRule="auto"/>
      </w:pPr>
      <w:r>
        <w:rPr>
          <w:lang w:val="en-US"/>
        </w:rPr>
        <w:t xml:space="preserve">II</w:t>
      </w:r>
      <w:r>
        <w:t xml:space="preserve">. Профилактика безнадзорности и пр</w:t>
      </w:r>
      <w:r>
        <w:t xml:space="preserve">авонарушений несовершеннолетних:</w:t>
      </w:r>
      <w:r/>
    </w:p>
    <w:p>
      <w:pPr>
        <w:ind w:firstLine="709"/>
        <w:spacing w:line="276" w:lineRule="auto"/>
      </w:pPr>
      <w:r>
        <w:t xml:space="preserve">1) 10-11 апреля 2024 года в городах Ханты-Мансийске и Нефтеюганске Государственной библиотекой Югры проведен Фестиваль Детской </w:t>
      </w:r>
      <w:r>
        <w:br/>
        <w:t xml:space="preserve">и юношеской книги, общий охват составил 1 569 человек. В рамках фестиваля проведена встреча с современными детскими писателями (Андрей Усачев и Галина Дядина), организованы книжные выставки, творческие мастер-классы, презентации книг югорских авторо</w:t>
      </w:r>
      <w:r>
        <w:t xml:space="preserve">в (Анжелики Бивол, сказка «Хрумс!»). Также организован круглый стол на тему: «Семейное чтение – любовь к книге», спикерами выступили представители из гг. Челябинска, Нефтеюганска, Сургута, Урая и Мегиона, а также представители библиотек автономного округа.</w:t>
      </w:r>
      <w:r/>
    </w:p>
    <w:p>
      <w:pPr>
        <w:ind w:firstLine="709"/>
        <w:spacing w:line="276" w:lineRule="auto"/>
      </w:pPr>
      <w:r>
        <w:t xml:space="preserve">Фестивал</w:t>
      </w:r>
      <w:r>
        <w:t xml:space="preserve">ь играет важную роль в профилактике антиобщественного и противоправного поведения среди несовершеннолетних, способствует нравственному, правовому, эстетическому, патриотическому воспитанию, здоровому образу жизни и помогает формировать гражданскую позицию.</w:t>
      </w:r>
      <w:r/>
    </w:p>
    <w:p>
      <w:pPr>
        <w:ind w:firstLine="709"/>
        <w:spacing w:line="276" w:lineRule="auto"/>
      </w:pPr>
      <w:r>
        <w:t xml:space="preserve">Организуя такие мероприятия, Государственная библиотека Югр</w:t>
      </w:r>
      <w:r>
        <w:t xml:space="preserve">ы привлекает детей и молодёжь к чтению, расширяет их читательские интересы, рекомендует книги различной тематики и проводит массовые мероприятия, ориентированные на позитивное восприятие окружающего мира, правильные взаимоотношения в семье и выбор в жизни.</w:t>
      </w:r>
      <w:r/>
    </w:p>
    <w:p>
      <w:pPr>
        <w:ind w:firstLine="709"/>
        <w:spacing w:line="276" w:lineRule="auto"/>
      </w:pPr>
      <w:r>
        <w:t xml:space="preserve">2) Реализован первый модуль проекта «Педагогическая лаборатория», ориентированный на руководителей школьных театров и педагогов общеоб</w:t>
      </w:r>
      <w:r>
        <w:t xml:space="preserve">разовательных организаций г. Ханты-Мансийска и Ханты-Мансийского района (реализуется при поддержке автономного учреждения «Институт развития образования»). Цель проекта заключается в создании сообщества школьных педагогов, которые ведут театральные студии </w:t>
      </w:r>
      <w:r>
        <w:br/>
        <w:t xml:space="preserve">в школах, а также в создании ряда мероприятий, которые приведут </w:t>
      </w:r>
      <w:r>
        <w:br/>
        <w:t xml:space="preserve">к знакомству с профессией театрального педагога и режиссера. Участниками стали 24 педагога из городов Ханты-Мансийска, Мегиона </w:t>
      </w:r>
      <w:r>
        <w:br/>
        <w:t xml:space="preserve">и Ханты-Мансийского района. Проект коррелируется с задачами нового федерального проекта «Школьный театр» по созданию в каждой школе театральных студий.</w:t>
      </w:r>
      <w:r/>
    </w:p>
    <w:p>
      <w:pPr>
        <w:ind w:firstLine="709"/>
        <w:spacing w:line="276" w:lineRule="auto"/>
      </w:pPr>
      <w:r>
        <w:t xml:space="preserve">В 2025 году «Педагогическая лаборатория» будет посвящена методам сторителлинга и </w:t>
      </w:r>
      <w:r>
        <w:t xml:space="preserve">форум-театра</w:t>
      </w:r>
      <w:r>
        <w:t xml:space="preserve">, для этого в столицу автономного округа приедут режиссёр и преподаватель Борис Павлович (г. Санкт-Петербург) </w:t>
      </w:r>
      <w:r>
        <w:br/>
        <w:t xml:space="preserve">и педагог, конструктор социально ангажированных спектаклей Полина </w:t>
      </w:r>
      <w:r>
        <w:t xml:space="preserve">Шатохина (г. Москва). Вместе с Полиной Шатохиной, исследовательницей практик современного театра, создательницей социально ангажированных спектаклей и перформансов, педагоги созда</w:t>
      </w:r>
      <w:r>
        <w:t xml:space="preserve">ют</w:t>
      </w:r>
      <w:r>
        <w:t xml:space="preserve"> собственный спектакль, зрителями которого станут школьники г. Ханты-Мансийска.</w:t>
      </w:r>
      <w:r/>
    </w:p>
    <w:p>
      <w:pPr>
        <w:ind w:firstLine="709"/>
        <w:spacing w:line="276" w:lineRule="auto"/>
      </w:pPr>
      <w:r>
        <w:t xml:space="preserve">3) В период с октября по декабрь 2024 года реализовано культурно-просветительское мероприятие «Вместе с музеем». В план мероприятий входят экскурсии, тематические и творческие занятия, мастер-классы, площ</w:t>
      </w:r>
      <w:r>
        <w:t xml:space="preserve">адки. Мероприятия направлены на школьную аудиторию (подростков), молодежь и семейную аудиторию и позволяют сформировать не только представление об истории и культуре региона, но и активную гражданскую позицию, которая позволит принимать решения и отвечать </w:t>
      </w:r>
      <w:r>
        <w:br/>
        <w:t xml:space="preserve">за свои поступки. Для реализации мероприятий приобретены расходные материалы (кварцевый песок, конструкторы, пазлы, игровые наборы и т.д.), также заключен контракт на поставку интерактивной столешницы. </w:t>
      </w:r>
      <w:r/>
    </w:p>
    <w:p>
      <w:pPr>
        <w:ind w:firstLine="709"/>
        <w:spacing w:line="276" w:lineRule="auto"/>
      </w:pPr>
      <w:r>
        <w:t xml:space="preserve">4) На постоянной основе Югорский кинопрокат проводит кинопоказы профилактических фильмов, пропагандирующих здоровый образ жизни, принимал участие </w:t>
      </w:r>
      <w:r>
        <w:t xml:space="preserve">в</w:t>
      </w:r>
      <w:r>
        <w:t xml:space="preserve"> </w:t>
      </w:r>
      <w:r>
        <w:t xml:space="preserve">окружной</w:t>
      </w:r>
      <w:r>
        <w:t xml:space="preserve"> киноакции «Я выбираю жизнь».</w:t>
      </w:r>
      <w:r/>
    </w:p>
    <w:p>
      <w:pPr>
        <w:ind w:firstLine="709"/>
        <w:spacing w:line="276" w:lineRule="auto"/>
      </w:pPr>
      <w:r>
        <w:t xml:space="preserve">Совместно с Центром общественного здоровья и медицинской профилактики прошли кинолектории и обсуждения фильмов, направленные на формирование здорового образа жизни профилактику вредных привычек. </w:t>
      </w:r>
      <w:r/>
    </w:p>
    <w:p>
      <w:pPr>
        <w:ind w:firstLine="709"/>
        <w:spacing w:line="276" w:lineRule="auto"/>
      </w:pPr>
      <w:r>
        <w:t xml:space="preserve">На по</w:t>
      </w:r>
      <w:r>
        <w:t xml:space="preserve">стоянной основе приобретаются фильмы, отвечающие национальным интересам общества, для организации показа в автономном округе. По состоянию на 1 декабря 2024 года было направлено в адрес киноплощадок 3 865 фильмокопий, охват зрителей более 190 тыс. человек.</w:t>
      </w:r>
      <w:r/>
    </w:p>
    <w:p>
      <w:pPr>
        <w:ind w:firstLine="709"/>
        <w:spacing w:line="276" w:lineRule="auto"/>
      </w:pPr>
      <w:r>
        <w:t xml:space="preserve">Ежегодно все учреждения сферы культуры активно принимают участие в проведении месячника антинаркотической направленности.</w:t>
      </w:r>
      <w:r/>
    </w:p>
    <w:p>
      <w:pPr>
        <w:ind w:firstLine="709"/>
        <w:spacing w:line="276" w:lineRule="auto"/>
      </w:pPr>
      <w:r>
        <w:t xml:space="preserve">В рамках месячника проводятся психологические тренинги, родительские собрания, осуществляется распространение средств наглядной агитации (памятки, листовки, буклеты), организуются </w:t>
      </w:r>
      <w:r>
        <w:br/>
        <w:t xml:space="preserve">игры-квесты, викторины, направленные на формирование здорового образа жизни, а также осуществляются мероприятия по устранению </w:t>
      </w:r>
      <w:r>
        <w:br/>
        <w:t xml:space="preserve">в общедоступных местах надписей, объявлений и ссылок на интернет-ресурсы и мессенджеры, содержащие информацию о продаже наркотических и психотропных веществ. </w:t>
      </w:r>
      <w:r/>
    </w:p>
    <w:p>
      <w:pPr>
        <w:ind w:firstLine="709"/>
        <w:spacing w:line="276" w:lineRule="auto"/>
      </w:pPr>
      <w:r>
        <w:t xml:space="preserve">На официальных сайтах учреждений культуры автономного округа, страницах в социальной сети «ВКонтакте» размещены посты, материалы антинаркотической направленности.</w:t>
      </w:r>
      <w:r/>
    </w:p>
    <w:p>
      <w:pPr>
        <w:pStyle w:val="1685"/>
        <w:ind w:firstLine="709"/>
        <w:jc w:val="both"/>
        <w:spacing w:line="276" w:lineRule="auto"/>
        <w:rPr>
          <w:b w:val="0"/>
          <w:i/>
        </w:rPr>
      </w:pPr>
      <w:r>
        <w:rPr>
          <w:b w:val="0"/>
          <w:i/>
        </w:rPr>
      </w:r>
      <w:r>
        <w:rPr>
          <w:b w:val="0"/>
          <w:i/>
        </w:rPr>
      </w:r>
      <w:r>
        <w:rPr>
          <w:b w:val="0"/>
          <w:i/>
        </w:rPr>
      </w:r>
    </w:p>
    <w:p>
      <w:pPr>
        <w:pStyle w:val="1685"/>
        <w:ind w:firstLine="709"/>
        <w:jc w:val="both"/>
        <w:spacing w:line="276" w:lineRule="auto"/>
        <w:rPr>
          <w:b w:val="0"/>
          <w:bCs w:val="0"/>
        </w:rPr>
      </w:pPr>
      <w:r>
        <w:rPr>
          <w:b w:val="0"/>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b w:val="0"/>
          <w:i/>
          <w:lang w:bidi="ru-RU"/>
        </w:rPr>
        <w:t xml:space="preserve">Департамент</w:t>
      </w:r>
      <w:r>
        <w:rPr>
          <w:rFonts w:eastAsia="Arial Unicode MS"/>
          <w:b w:val="0"/>
          <w:i/>
          <w:lang w:bidi="ru-RU"/>
        </w:rPr>
        <w:t xml:space="preserve">а</w:t>
      </w:r>
      <w:r>
        <w:rPr>
          <w:rFonts w:eastAsia="Arial Unicode MS"/>
          <w:b w:val="0"/>
          <w:i/>
          <w:lang w:bidi="ru-RU"/>
        </w:rPr>
        <w:t xml:space="preserve"> физической культуры и спорта Ханты-Мансийского автономного округа – Югры.</w:t>
      </w:r>
      <w:r>
        <w:rPr>
          <w:rFonts w:eastAsia="Arial Unicode MS"/>
          <w:b w:val="0"/>
          <w:i/>
          <w:lang w:bidi="ru-RU"/>
        </w:rPr>
        <w:t xml:space="preserve"> </w:t>
      </w:r>
      <w:r>
        <w:rPr>
          <w:b w:val="0"/>
          <w:bCs w:val="0"/>
        </w:rPr>
      </w:r>
      <w:r>
        <w:rPr>
          <w:b w:val="0"/>
          <w:bCs w:val="0"/>
        </w:rPr>
      </w:r>
    </w:p>
    <w:p>
      <w:pPr>
        <w:pStyle w:val="1685"/>
        <w:ind w:firstLine="709"/>
        <w:jc w:val="both"/>
        <w:spacing w:line="276" w:lineRule="auto"/>
        <w:rPr>
          <w:b w:val="0"/>
          <w:bCs w:val="0"/>
        </w:rPr>
      </w:pPr>
      <w:r>
        <w:rPr>
          <w:b w:val="0"/>
        </w:rPr>
        <w:t xml:space="preserve">В учреждениях спорта муниципальных образований автономного округа в целях противодействия распространению наркомании в молодежной среде, популяризации здорового образа жизни,</w:t>
      </w:r>
      <w:r>
        <w:rPr>
          <w:b w:val="0"/>
        </w:rPr>
        <w:t xml:space="preserve"> привлечения к регулярным занятиям физической культурой и спортом, </w:t>
      </w:r>
      <w:r>
        <w:rPr>
          <w:b w:val="0"/>
        </w:rPr>
        <w:t xml:space="preserve">в 2024 году были реализованы следующие мероприятия.</w:t>
      </w:r>
      <w:r>
        <w:rPr>
          <w:b w:val="0"/>
          <w:bCs w:val="0"/>
        </w:rPr>
      </w:r>
      <w:r>
        <w:rPr>
          <w:b w:val="0"/>
          <w:bCs w:val="0"/>
        </w:rPr>
      </w:r>
    </w:p>
    <w:p>
      <w:pPr>
        <w:ind w:firstLine="709"/>
        <w:spacing w:line="276" w:lineRule="auto"/>
        <w:rPr>
          <w:bCs/>
          <w:highlight w:val="white"/>
        </w:rPr>
      </w:pPr>
      <w:r>
        <w:rPr>
          <w:lang w:eastAsia="en-US"/>
        </w:rPr>
        <w:t xml:space="preserve">1) </w:t>
      </w:r>
      <w:r>
        <w:rPr>
          <w:lang w:eastAsia="en-US"/>
        </w:rPr>
        <w:t xml:space="preserve">Мероприятия среди детей и молодежи, направленные </w:t>
      </w:r>
      <w:r>
        <w:rPr>
          <w:lang w:eastAsia="en-US"/>
        </w:rPr>
        <w:br/>
        <w:t xml:space="preserve">на формирование у них навыков защиты психологического характера </w:t>
      </w:r>
      <w:r>
        <w:rPr>
          <w:lang w:eastAsia="en-US"/>
        </w:rPr>
        <w:br/>
      </w:r>
      <w:r>
        <w:rPr>
          <w:highlight w:val="white"/>
          <w:lang w:eastAsia="en-US"/>
        </w:rPr>
        <w:t xml:space="preserve">от возможного вовлечения в антисоциальное времяпровождение.</w:t>
      </w:r>
      <w:r>
        <w:rPr>
          <w:bCs/>
          <w:highlight w:val="white"/>
        </w:rPr>
      </w:r>
      <w:r>
        <w:rPr>
          <w:bCs/>
          <w:highlight w:val="white"/>
        </w:rPr>
      </w:r>
    </w:p>
    <w:p>
      <w:pPr>
        <w:ind w:firstLine="709"/>
        <w:spacing w:line="276" w:lineRule="auto"/>
        <w:rPr>
          <w:highlight w:val="white"/>
        </w:rPr>
      </w:pPr>
      <w:r>
        <w:rPr>
          <w:highlight w:val="white"/>
        </w:rPr>
        <w:t xml:space="preserve">В рамках проведения профилактических мероприятий </w:t>
      </w:r>
      <w:r>
        <w:rPr>
          <w:highlight w:val="white"/>
        </w:rPr>
        <w:t xml:space="preserve">по правовому просвещению и правовому информированию подростков и молодежи,  направленных на профилактику наркомании муниципальными учреждениями спорта на систематической основе проводятся разъяснительные мероприятия (родительские собрания, беседы тренеров </w:t>
      </w:r>
      <w:r>
        <w:rPr>
          <w:highlight w:val="white"/>
        </w:rPr>
        <w:br/>
        <w:t xml:space="preserve">с несовершеннолетними и родителями (законными представителями).</w:t>
      </w:r>
      <w:r>
        <w:rPr>
          <w:highlight w:val="white"/>
        </w:rPr>
      </w:r>
      <w:r>
        <w:rPr>
          <w:highlight w:val="white"/>
        </w:rPr>
      </w:r>
    </w:p>
    <w:p>
      <w:pPr>
        <w:ind w:firstLine="709"/>
        <w:spacing w:line="276" w:lineRule="auto"/>
        <w:tabs>
          <w:tab w:val="left" w:pos="851" w:leader="none"/>
        </w:tabs>
        <w:rPr>
          <w:highlight w:val="white"/>
        </w:rPr>
      </w:pPr>
      <w:r>
        <w:rPr>
          <w:highlight w:val="white"/>
        </w:rPr>
        <w:t xml:space="preserve">Так</w:t>
      </w:r>
      <w:r>
        <w:rPr>
          <w:highlight w:val="white"/>
        </w:rPr>
        <w:t xml:space="preserve"> например, в г. Нижневартовске</w:t>
      </w:r>
      <w:r>
        <w:rPr>
          <w:highlight w:val="white"/>
          <w:lang w:eastAsia="en-US"/>
        </w:rPr>
        <w:t xml:space="preserve"> при организации и проведении спортивных и физкультурных мероприятий среди участников и зрителей были распространены буклеты</w:t>
      </w:r>
      <w:r>
        <w:rPr>
          <w:highlight w:val="white"/>
        </w:rPr>
        <w:t xml:space="preserve">:</w:t>
      </w:r>
      <w:r>
        <w:rPr>
          <w:highlight w:val="white"/>
        </w:rPr>
      </w:r>
      <w:r>
        <w:rPr>
          <w:highlight w:val="white"/>
        </w:rPr>
      </w:r>
    </w:p>
    <w:p>
      <w:pPr>
        <w:ind w:firstLine="709"/>
        <w:spacing w:line="276" w:lineRule="auto"/>
        <w:tabs>
          <w:tab w:val="left" w:pos="851" w:leader="none"/>
        </w:tabs>
        <w:rPr>
          <w:highlight w:val="white"/>
        </w:rPr>
      </w:pPr>
      <w:r>
        <w:rPr>
          <w:highlight w:val="white"/>
        </w:rPr>
        <w:t xml:space="preserve">«Десять хороших причин сказать нет наркотикам» (информация </w:t>
      </w:r>
      <w:r>
        <w:rPr>
          <w:highlight w:val="white"/>
        </w:rPr>
        <w:br/>
        <w:t xml:space="preserve">о последствиях употребления наркотических веществ) - 200 шт</w:t>
      </w:r>
      <w:r>
        <w:rPr>
          <w:highlight w:val="white"/>
        </w:rPr>
        <w:t xml:space="preserve">.</w:t>
      </w:r>
      <w:r>
        <w:rPr>
          <w:highlight w:val="white"/>
        </w:rPr>
        <w:t xml:space="preserve">;</w:t>
      </w:r>
      <w:r>
        <w:rPr>
          <w:highlight w:val="white"/>
        </w:rPr>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«Когда вы откажитесь от сигарет» (информация о последствиях употребления табака) - 350 шт</w:t>
      </w:r>
      <w:r>
        <w:rPr>
          <w:highlight w:val="white"/>
        </w:rPr>
        <w:t xml:space="preserve">.</w:t>
      </w:r>
      <w:r>
        <w:rPr>
          <w:highlight w:val="white"/>
        </w:rPr>
        <w:t xml:space="preserve">;</w:t>
      </w:r>
      <w:r>
        <w:rPr>
          <w:highlight w:val="white"/>
        </w:rPr>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«Пивной алкоголизм» (информация о профилактике негативных явлений) – 100 шт</w:t>
      </w:r>
      <w:r>
        <w:rPr>
          <w:highlight w:val="white"/>
        </w:rPr>
        <w:t xml:space="preserve">.</w:t>
      </w:r>
      <w:r>
        <w:rPr>
          <w:highlight w:val="white"/>
        </w:rPr>
        <w:t xml:space="preserve">;</w:t>
      </w:r>
      <w:r>
        <w:rPr>
          <w:highlight w:val="white"/>
        </w:rPr>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ab/>
        <w:t xml:space="preserve">«Молодежь против спида и наркотиков» (информация </w:t>
      </w:r>
      <w:r>
        <w:rPr>
          <w:highlight w:val="white"/>
        </w:rPr>
        <w:br/>
        <w:t xml:space="preserve">о профилактике негативных явлений) - 370 шт</w:t>
      </w:r>
      <w:r>
        <w:rPr>
          <w:highlight w:val="white"/>
        </w:rPr>
        <w:t xml:space="preserve">.</w:t>
      </w:r>
      <w:r>
        <w:rPr>
          <w:highlight w:val="white"/>
        </w:rPr>
        <w:t xml:space="preserve">;</w:t>
      </w:r>
      <w:r>
        <w:rPr>
          <w:highlight w:val="white"/>
        </w:rPr>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«Молодежь - за моду на здоровье» (информация о пропаганде спорта и формировании привычек здорового образа жизни) - 370 шт.</w:t>
      </w:r>
      <w:r>
        <w:rPr>
          <w:highlight w:val="white"/>
        </w:rPr>
      </w:r>
      <w:r>
        <w:rPr>
          <w:highlight w:val="white"/>
        </w:rPr>
      </w:r>
    </w:p>
    <w:p>
      <w:pPr>
        <w:pStyle w:val="1682"/>
        <w:ind w:firstLine="709"/>
        <w:jc w:val="both"/>
        <w:spacing w:line="276" w:lineRule="auto"/>
        <w:rPr>
          <w:sz w:val="28"/>
          <w:szCs w:val="28"/>
          <w:highlight w:val="white"/>
        </w:rPr>
      </w:pPr>
      <w:r>
        <w:rPr>
          <w:color w:val="auto"/>
          <w:sz w:val="28"/>
          <w:szCs w:val="28"/>
          <w:highlight w:val="white"/>
        </w:rPr>
        <w:t xml:space="preserve">В г. Лангепас</w:t>
      </w:r>
      <w:r>
        <w:rPr>
          <w:color w:val="auto"/>
          <w:sz w:val="28"/>
          <w:szCs w:val="28"/>
          <w:highlight w:val="white"/>
        </w:rPr>
        <w:t xml:space="preserve">е</w:t>
      </w:r>
      <w:r>
        <w:rPr>
          <w:color w:val="auto"/>
          <w:sz w:val="28"/>
          <w:szCs w:val="28"/>
          <w:highlight w:val="white"/>
        </w:rPr>
        <w:t xml:space="preserve"> специалистами проведена разъяснительная работа </w:t>
      </w:r>
      <w:r>
        <w:rPr>
          <w:color w:val="auto"/>
          <w:sz w:val="28"/>
          <w:szCs w:val="28"/>
          <w:highlight w:val="white"/>
        </w:rPr>
        <w:br/>
        <w:t xml:space="preserve">с несовершеннолетними посредством проведения бесед на тему:</w:t>
      </w:r>
      <w:r>
        <w:rPr>
          <w:sz w:val="28"/>
          <w:szCs w:val="28"/>
          <w:highlight w:val="white"/>
        </w:rPr>
        <w:t xml:space="preserve"> «Профилактика вредных привычек: курение, алкоголь, наркотики», </w:t>
      </w:r>
      <w:r>
        <w:rPr>
          <w:sz w:val="28"/>
          <w:szCs w:val="28"/>
          <w:highlight w:val="white"/>
        </w:rPr>
        <w:br/>
        <w:t xml:space="preserve">«Как стать независимым»</w:t>
      </w:r>
      <w:r>
        <w:rPr>
          <w:color w:val="auto"/>
          <w:sz w:val="28"/>
          <w:szCs w:val="28"/>
          <w:highlight w:val="white"/>
        </w:rPr>
        <w:t xml:space="preserve">. </w:t>
      </w:r>
      <w:r>
        <w:rPr>
          <w:sz w:val="28"/>
          <w:szCs w:val="28"/>
          <w:highlight w:val="white"/>
        </w:rPr>
      </w:r>
      <w:r>
        <w:rPr>
          <w:sz w:val="28"/>
          <w:szCs w:val="28"/>
          <w:highlight w:val="white"/>
        </w:rPr>
      </w:r>
    </w:p>
    <w:p>
      <w:pPr>
        <w:pStyle w:val="1749"/>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w:t>
      </w:r>
      <w:r>
        <w:rPr>
          <w:rFonts w:ascii="Times New Roman" w:hAnsi="Times New Roman" w:cs="Times New Roman"/>
          <w:sz w:val="28"/>
          <w:szCs w:val="28"/>
          <w:highlight w:val="white"/>
        </w:rPr>
        <w:t xml:space="preserve"> Покачи тренерами-преподавателями ведется просветительская работа с родителями, которая включает в себя: родительские собрания «Режим дня спортсмена», «Роль семьи в предупреждении наркомании, табакокурения, токсикомании», «Значение двигательной активности </w:t>
      </w:r>
      <w:r>
        <w:rPr>
          <w:rFonts w:ascii="Times New Roman" w:hAnsi="Times New Roman" w:cs="Times New Roman"/>
          <w:sz w:val="28"/>
          <w:szCs w:val="28"/>
          <w:highlight w:val="white"/>
        </w:rPr>
        <w:br/>
      </w:r>
      <w:r>
        <w:rPr>
          <w:rFonts w:ascii="Times New Roman" w:hAnsi="Times New Roman" w:cs="Times New Roman"/>
          <w:sz w:val="28"/>
          <w:szCs w:val="28"/>
          <w:highlight w:val="white"/>
        </w:rPr>
        <w:t xml:space="preserve">и физической культуры для здоровья», организуются совместные мероприятия с родителями «Антидопинговая компания юных спортсменов».</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firstLine="709"/>
        <w:spacing w:line="276" w:lineRule="auto"/>
        <w:shd w:val="clear" w:color="auto" w:fill="ffffff"/>
        <w:rPr>
          <w:bCs/>
          <w:highlight w:val="white"/>
        </w:rPr>
      </w:pPr>
      <w:r>
        <w:rPr>
          <w:bCs/>
          <w:highlight w:val="white"/>
        </w:rPr>
        <w:t xml:space="preserve">В г. Пыть-Ях</w:t>
      </w:r>
      <w:r>
        <w:rPr>
          <w:bCs/>
          <w:highlight w:val="white"/>
        </w:rPr>
        <w:t xml:space="preserve">е</w:t>
      </w:r>
      <w:r>
        <w:rPr>
          <w:bCs/>
          <w:highlight w:val="white"/>
        </w:rPr>
        <w:t xml:space="preserve"> проведены беседы, направленные на разъяснение спортсменам мер наказания за распространение экстремистских идей </w:t>
      </w:r>
      <w:r>
        <w:rPr>
          <w:bCs/>
          <w:highlight w:val="white"/>
        </w:rPr>
        <w:br/>
        <w:t xml:space="preserve">и терроризма, употребления психотропных веществ, наркотиков, профилактику правонарушений, а также на предупреждение </w:t>
      </w:r>
      <w:r>
        <w:rPr>
          <w:bCs/>
          <w:highlight w:val="white"/>
        </w:rPr>
        <w:br/>
        <w:t xml:space="preserve">и профилактику нарушений правил дорожного движения. </w:t>
      </w:r>
      <w:r>
        <w:rPr>
          <w:bCs/>
          <w:highlight w:val="white"/>
        </w:rPr>
      </w:r>
      <w:r>
        <w:rPr>
          <w:bCs/>
          <w:highlight w:val="white"/>
        </w:rPr>
      </w:r>
    </w:p>
    <w:p>
      <w:pPr>
        <w:ind w:firstLine="709"/>
        <w:spacing w:line="276" w:lineRule="auto"/>
        <w:shd w:val="clear" w:color="auto" w:fill="ffffff"/>
        <w:rPr>
          <w:highlight w:val="white"/>
        </w:rPr>
      </w:pPr>
      <w:r>
        <w:rPr>
          <w:bCs/>
          <w:highlight w:val="white"/>
        </w:rPr>
        <w:t xml:space="preserve">В г. Сургут</w:t>
      </w:r>
      <w:r>
        <w:rPr>
          <w:bCs/>
          <w:highlight w:val="white"/>
        </w:rPr>
        <w:t xml:space="preserve">е</w:t>
      </w:r>
      <w:r>
        <w:rPr>
          <w:bCs/>
          <w:highlight w:val="white"/>
        </w:rPr>
        <w:t xml:space="preserve"> проведены </w:t>
      </w:r>
      <w:r>
        <w:rPr>
          <w:highlight w:val="white"/>
        </w:rPr>
        <w:t xml:space="preserve">разъяснительные мероприятия (родительские собрания, беседы тренеров с несовершеннолетними и родителями (законными представителями), в том числе посредством мессенджеров на темы:</w:t>
      </w:r>
      <w:r>
        <w:rPr>
          <w:highlight w:val="white"/>
        </w:rPr>
        <w:t xml:space="preserve"> </w:t>
      </w:r>
      <w:r>
        <w:rPr>
          <w:highlight w:val="white"/>
        </w:rPr>
        <w:t xml:space="preserve">«Дорога, ведущая в пропасть», «Опасное погружение», «Выбери здоровый образ жизни», «Зависимость – что это?», «Профилактика алкоголизма, токсикомании, наркомании» и т.п.</w:t>
      </w:r>
      <w:r>
        <w:rPr>
          <w:highlight w:val="white"/>
        </w:rPr>
        <w:t xml:space="preserve"> Охват составил </w:t>
      </w:r>
      <w:r>
        <w:rPr>
          <w:highlight w:val="white"/>
        </w:rPr>
        <w:br/>
        <w:t xml:space="preserve">6293 человека.</w:t>
      </w:r>
      <w:r>
        <w:rPr>
          <w:highlight w:val="white"/>
        </w:rPr>
      </w:r>
      <w:r>
        <w:rPr>
          <w:highlight w:val="white"/>
        </w:rPr>
      </w:r>
    </w:p>
    <w:p>
      <w:pPr>
        <w:pStyle w:val="1749"/>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Ханты-Мансийск</w:t>
      </w:r>
      <w:r>
        <w:rPr>
          <w:rFonts w:ascii="Times New Roman" w:hAnsi="Times New Roman" w:cs="Times New Roman"/>
          <w:sz w:val="28"/>
          <w:szCs w:val="28"/>
          <w:highlight w:val="white"/>
        </w:rPr>
        <w:t xml:space="preserve">е</w:t>
      </w:r>
      <w:r>
        <w:rPr>
          <w:rFonts w:ascii="Times New Roman" w:hAnsi="Times New Roman" w:cs="Times New Roman"/>
          <w:sz w:val="28"/>
          <w:szCs w:val="28"/>
          <w:highlight w:val="white"/>
        </w:rPr>
        <w:t xml:space="preserve"> проведена беседа с </w:t>
      </w:r>
      <w:r>
        <w:rPr>
          <w:rFonts w:ascii="Times New Roman" w:hAnsi="Times New Roman" w:cs="Times New Roman"/>
          <w:sz w:val="28"/>
          <w:szCs w:val="28"/>
          <w:highlight w:val="white"/>
        </w:rPr>
        <w:t xml:space="preserve">обучающимися</w:t>
      </w:r>
      <w:r>
        <w:rPr>
          <w:rFonts w:ascii="Times New Roman" w:hAnsi="Times New Roman" w:cs="Times New Roman"/>
          <w:sz w:val="28"/>
          <w:szCs w:val="28"/>
          <w:highlight w:val="white"/>
        </w:rPr>
        <w:t xml:space="preserve"> муниципальных учреждений спорта на темы: «Правонарушения в подростковой среде и ответственность за них» и «Профилактика наркомании и алкоголизма в подростковой среде». </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pStyle w:val="1749"/>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eastAsia="Calibri" w:cs="Times New Roman"/>
          <w:sz w:val="28"/>
          <w:szCs w:val="28"/>
          <w:highlight w:val="white"/>
        </w:rPr>
        <w:t xml:space="preserve">В г. М</w:t>
      </w:r>
      <w:r>
        <w:rPr>
          <w:rFonts w:ascii="Times New Roman" w:hAnsi="Times New Roman" w:eastAsia="Calibri" w:cs="Times New Roman"/>
          <w:sz w:val="28"/>
          <w:szCs w:val="28"/>
          <w:highlight w:val="white"/>
        </w:rPr>
        <w:t xml:space="preserve">егион</w:t>
      </w:r>
      <w:r>
        <w:rPr>
          <w:rFonts w:ascii="Times New Roman" w:hAnsi="Times New Roman" w:eastAsia="Calibri" w:cs="Times New Roman"/>
          <w:sz w:val="28"/>
          <w:szCs w:val="28"/>
          <w:highlight w:val="white"/>
        </w:rPr>
        <w:t xml:space="preserve">е</w:t>
      </w:r>
      <w:r>
        <w:rPr>
          <w:rFonts w:ascii="Times New Roman" w:hAnsi="Times New Roman" w:eastAsia="Calibri" w:cs="Times New Roman"/>
          <w:sz w:val="28"/>
          <w:szCs w:val="28"/>
          <w:highlight w:val="white"/>
        </w:rPr>
        <w:t xml:space="preserve"> проведена </w:t>
      </w:r>
      <w:r>
        <w:rPr>
          <w:rFonts w:ascii="Times New Roman" w:hAnsi="Times New Roman" w:cs="Times New Roman"/>
          <w:sz w:val="28"/>
          <w:szCs w:val="28"/>
          <w:highlight w:val="white"/>
        </w:rPr>
        <w:t xml:space="preserve">разъяснительная работа с обучающимися и воспитанниками посредством проведения, бесед на тему: «Вред и последствия незаконного потребления наркотиков», «Правда </w:t>
      </w:r>
      <w:r>
        <w:rPr>
          <w:rFonts w:ascii="Times New Roman" w:hAnsi="Times New Roman" w:cs="Times New Roman"/>
          <w:sz w:val="28"/>
          <w:szCs w:val="28"/>
          <w:highlight w:val="white"/>
        </w:rPr>
        <w:br/>
        <w:t xml:space="preserve">о наркотиках», «Осторожно, наркотики!», «Наркотики – что это?», «Наркотики 21 века», «Портрет наркомана», «Об административной </w:t>
      </w:r>
      <w:r>
        <w:rPr>
          <w:rFonts w:ascii="Times New Roman" w:hAnsi="Times New Roman" w:cs="Times New Roman"/>
          <w:sz w:val="28"/>
          <w:szCs w:val="28"/>
          <w:highlight w:val="white"/>
        </w:rPr>
        <w:br/>
        <w:t xml:space="preserve">и уголовной ответственности за совершение правонарушений», «Профилактика совершения правонарушений несовершеннолетними </w:t>
      </w:r>
      <w:r>
        <w:rPr>
          <w:rFonts w:ascii="Times New Roman" w:hAnsi="Times New Roman" w:cs="Times New Roman"/>
          <w:sz w:val="28"/>
          <w:szCs w:val="28"/>
          <w:highlight w:val="white"/>
        </w:rPr>
        <w:br/>
        <w:t xml:space="preserve">и правонарушений в отношении них» с раздачей информационного материала, охват составил 2256 человек.  </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ind w:firstLine="709"/>
        <w:spacing w:line="276" w:lineRule="auto"/>
        <w:rPr>
          <w:bCs/>
          <w:highlight w:val="white"/>
        </w:rPr>
      </w:pPr>
      <w:r>
        <w:rPr>
          <w:highlight w:val="white"/>
        </w:rPr>
        <w:t xml:space="preserve">2) </w:t>
      </w:r>
      <w:r>
        <w:rPr>
          <w:highlight w:val="white"/>
        </w:rPr>
        <w:t xml:space="preserve">Реализация комплекса мер первичной профилактики наркомании </w:t>
      </w:r>
      <w:r>
        <w:rPr>
          <w:highlight w:val="white"/>
        </w:rPr>
        <w:br/>
        <w:t xml:space="preserve">и формированию здорового образа жизни.</w:t>
      </w:r>
      <w:r>
        <w:rPr>
          <w:bCs/>
          <w:highlight w:val="white"/>
        </w:rPr>
      </w:r>
      <w:r>
        <w:rPr>
          <w:bCs/>
          <w:highlight w:val="white"/>
        </w:rPr>
      </w:r>
    </w:p>
    <w:p>
      <w:pPr>
        <w:pStyle w:val="1682"/>
        <w:ind w:firstLine="709"/>
        <w:jc w:val="both"/>
        <w:spacing w:line="276" w:lineRule="auto"/>
        <w:rPr>
          <w:color w:val="auto"/>
          <w:sz w:val="28"/>
          <w:szCs w:val="28"/>
          <w:highlight w:val="white"/>
        </w:rPr>
      </w:pPr>
      <w:r>
        <w:rPr>
          <w:color w:val="auto"/>
          <w:sz w:val="28"/>
          <w:szCs w:val="28"/>
        </w:rPr>
        <w:t xml:space="preserve">В</w:t>
      </w:r>
      <w:r>
        <w:rPr>
          <w:color w:val="auto"/>
          <w:sz w:val="28"/>
          <w:szCs w:val="28"/>
          <w:highlight w:val="white"/>
        </w:rPr>
        <w:t xml:space="preserve"> Березовском районе проведена </w:t>
      </w:r>
      <w:r>
        <w:rPr>
          <w:sz w:val="28"/>
          <w:szCs w:val="28"/>
          <w:highlight w:val="white"/>
        </w:rPr>
        <w:t xml:space="preserve">Спартакиада среди лагерей </w:t>
      </w:r>
      <w:r>
        <w:rPr>
          <w:sz w:val="28"/>
          <w:szCs w:val="28"/>
          <w:highlight w:val="white"/>
        </w:rPr>
        <w:br/>
        <w:t xml:space="preserve">с дневным пребыванием детей «Олимпия» («Футбол», «Перестрелка»), посвящённая «Международному дню борьбы с наркоманией </w:t>
      </w:r>
      <w:r>
        <w:rPr>
          <w:sz w:val="28"/>
          <w:szCs w:val="28"/>
          <w:highlight w:val="white"/>
        </w:rPr>
        <w:br/>
        <w:t xml:space="preserve">и наркобизнесом»</w:t>
      </w:r>
      <w:r>
        <w:rPr>
          <w:color w:val="auto"/>
          <w:sz w:val="28"/>
          <w:szCs w:val="28"/>
          <w:highlight w:val="white"/>
        </w:rPr>
        <w:t xml:space="preserve">. </w:t>
      </w:r>
      <w:r>
        <w:rPr>
          <w:color w:val="auto"/>
          <w:sz w:val="28"/>
          <w:szCs w:val="28"/>
          <w:highlight w:val="white"/>
        </w:rPr>
      </w:r>
      <w:r>
        <w:rPr>
          <w:color w:val="auto"/>
          <w:sz w:val="28"/>
          <w:szCs w:val="28"/>
          <w:highlight w:val="white"/>
        </w:rPr>
      </w:r>
    </w:p>
    <w:p>
      <w:pPr>
        <w:pStyle w:val="1682"/>
        <w:ind w:firstLine="709"/>
        <w:jc w:val="both"/>
        <w:spacing w:line="276" w:lineRule="auto"/>
        <w:rPr>
          <w:color w:val="auto"/>
          <w:sz w:val="28"/>
          <w:szCs w:val="28"/>
          <w:highlight w:val="white"/>
        </w:rPr>
      </w:pPr>
      <w:r>
        <w:rPr>
          <w:sz w:val="28"/>
          <w:szCs w:val="28"/>
          <w:highlight w:val="white"/>
        </w:rPr>
        <w:t xml:space="preserve">В г. Лангепас</w:t>
      </w:r>
      <w:r>
        <w:rPr>
          <w:sz w:val="28"/>
          <w:szCs w:val="28"/>
          <w:highlight w:val="white"/>
        </w:rPr>
        <w:t xml:space="preserve">е</w:t>
      </w:r>
      <w:r>
        <w:rPr>
          <w:sz w:val="28"/>
          <w:szCs w:val="28"/>
          <w:highlight w:val="white"/>
        </w:rPr>
        <w:t xml:space="preserve"> проведены физкультурно-массовые мероприятия: семейный флешмоб «Мы за здоровый образ жизни»; мероприятие «Здоровое детство - здоровый Ленгепас» (пионербол);</w:t>
      </w:r>
      <w:r>
        <w:rPr>
          <w:color w:val="auto"/>
          <w:sz w:val="28"/>
          <w:szCs w:val="28"/>
          <w:highlight w:val="white"/>
        </w:rPr>
        <w:t xml:space="preserve"> </w:t>
      </w:r>
      <w:r>
        <w:rPr>
          <w:sz w:val="28"/>
          <w:szCs w:val="28"/>
          <w:highlight w:val="white"/>
        </w:rPr>
        <w:t xml:space="preserve">«Спорт без допинга»</w:t>
      </w:r>
      <w:r>
        <w:rPr>
          <w:color w:val="auto"/>
          <w:sz w:val="28"/>
          <w:szCs w:val="28"/>
          <w:highlight w:val="white"/>
        </w:rPr>
        <w:t xml:space="preserve">; </w:t>
      </w:r>
      <w:r>
        <w:rPr>
          <w:sz w:val="28"/>
          <w:szCs w:val="28"/>
          <w:highlight w:val="white"/>
        </w:rPr>
        <w:t xml:space="preserve">«Вместе шагаем к здоровью», охват участников составил более 100 человек.</w:t>
      </w:r>
      <w:r>
        <w:rPr>
          <w:color w:val="auto"/>
          <w:sz w:val="28"/>
          <w:szCs w:val="28"/>
          <w:highlight w:val="white"/>
        </w:rPr>
      </w:r>
      <w:r>
        <w:rPr>
          <w:color w:val="auto"/>
          <w:sz w:val="28"/>
          <w:szCs w:val="28"/>
          <w:highlight w:val="white"/>
        </w:rPr>
      </w:r>
    </w:p>
    <w:p>
      <w:pPr>
        <w:ind w:firstLine="709"/>
        <w:spacing w:line="276" w:lineRule="auto"/>
        <w:rPr>
          <w:bCs/>
          <w:i/>
          <w:highlight w:val="white"/>
        </w:rPr>
      </w:pPr>
      <w:r>
        <w:rPr>
          <w:highlight w:val="white"/>
        </w:rPr>
        <w:t xml:space="preserve">В г</w:t>
      </w:r>
      <w:r>
        <w:rPr>
          <w:highlight w:val="white"/>
        </w:rPr>
        <w:t xml:space="preserve">.Н</w:t>
      </w:r>
      <w:r>
        <w:rPr>
          <w:highlight w:val="white"/>
        </w:rPr>
        <w:t xml:space="preserve">ижневартовск</w:t>
      </w:r>
      <w:r>
        <w:rPr>
          <w:highlight w:val="white"/>
        </w:rPr>
        <w:t xml:space="preserve">е</w:t>
      </w:r>
      <w:r>
        <w:rPr>
          <w:highlight w:val="white"/>
        </w:rPr>
        <w:t xml:space="preserve"> на территории м</w:t>
      </w:r>
      <w:bookmarkStart w:id="3" w:name="undefined"/>
      <w:r/>
      <w:bookmarkEnd w:id="3"/>
      <w:r>
        <w:rPr>
          <w:highlight w:val="white"/>
        </w:rPr>
        <w:t xml:space="preserve">ногофункционального лесного комплекса «ЯГОМ» состоялся фестиваль семейного спорта «Быть здоровым здорово».</w:t>
      </w:r>
      <w:r>
        <w:rPr>
          <w:bCs/>
          <w:i/>
          <w:highlight w:val="white"/>
        </w:rPr>
      </w:r>
      <w:r>
        <w:rPr>
          <w:bCs/>
          <w:i/>
          <w:highlight w:val="white"/>
        </w:rPr>
      </w:r>
    </w:p>
    <w:p>
      <w:pPr>
        <w:ind w:firstLine="709"/>
        <w:spacing w:line="276" w:lineRule="auto"/>
        <w:rPr>
          <w:highlight w:val="white"/>
        </w:rPr>
      </w:pPr>
      <w:r>
        <w:rPr>
          <w:highlight w:val="white"/>
        </w:rPr>
        <w:t xml:space="preserve">В г</w:t>
      </w:r>
      <w:r>
        <w:rPr>
          <w:highlight w:val="white"/>
        </w:rPr>
        <w:t xml:space="preserve">.С</w:t>
      </w:r>
      <w:r>
        <w:rPr>
          <w:highlight w:val="white"/>
        </w:rPr>
        <w:t xml:space="preserve">ургут</w:t>
      </w:r>
      <w:r>
        <w:rPr>
          <w:highlight w:val="white"/>
        </w:rPr>
        <w:t xml:space="preserve">е</w:t>
      </w:r>
      <w:r>
        <w:rPr>
          <w:highlight w:val="white"/>
        </w:rPr>
        <w:t xml:space="preserve"> в рамках </w:t>
      </w:r>
      <w:r>
        <w:rPr>
          <w:rStyle w:val="1750"/>
          <w:i w:val="0"/>
          <w:highlight w:val="white"/>
          <w:shd w:val="clear" w:color="auto" w:fill="ffffff"/>
        </w:rPr>
        <w:t xml:space="preserve">муниципальной программы</w:t>
      </w:r>
      <w:r>
        <w:rPr>
          <w:i/>
          <w:highlight w:val="white"/>
          <w:shd w:val="clear" w:color="auto" w:fill="ffffff"/>
        </w:rPr>
        <w:t xml:space="preserve"> «</w:t>
      </w:r>
      <w:r>
        <w:rPr>
          <w:rStyle w:val="1750"/>
          <w:i w:val="0"/>
          <w:highlight w:val="white"/>
          <w:shd w:val="clear" w:color="auto" w:fill="ffffff"/>
        </w:rPr>
        <w:t xml:space="preserve">Профилактика правонарушений </w:t>
      </w:r>
      <w:r>
        <w:rPr>
          <w:i/>
          <w:highlight w:val="white"/>
          <w:shd w:val="clear" w:color="auto" w:fill="ffffff"/>
        </w:rPr>
        <w:t xml:space="preserve">в </w:t>
      </w:r>
      <w:r>
        <w:rPr>
          <w:rStyle w:val="1750"/>
          <w:i w:val="0"/>
          <w:highlight w:val="white"/>
          <w:shd w:val="clear" w:color="auto" w:fill="ffffff"/>
        </w:rPr>
        <w:t xml:space="preserve">городе Сургуте проведены:</w:t>
      </w:r>
      <w:r>
        <w:rPr>
          <w:rStyle w:val="1750"/>
          <w:highlight w:val="white"/>
          <w:shd w:val="clear" w:color="auto" w:fill="ffffff"/>
        </w:rPr>
        <w:t xml:space="preserve"> </w:t>
      </w:r>
      <w:r>
        <w:rPr>
          <w:highlight w:val="white"/>
        </w:rPr>
        <w:t xml:space="preserve">Открытое первенство города Сургута по баскетболу среди девушек до 16 лет под девизом «Вредным привычкам не</w:t>
      </w:r>
      <w:r>
        <w:rPr>
          <w:highlight w:val="white"/>
        </w:rPr>
        <w:t xml:space="preserve">т!», Городской турнир по спортивной борьбе (греко-римская борьба) среди юношей в рамках кампании «Спорт против наркотиков», Акция «Здоровое поколение», в рамках первой недели работы площадок, Легкоатлетический пробег, посвященный международному дню борьбы </w:t>
      </w:r>
      <w:r>
        <w:rPr>
          <w:highlight w:val="white"/>
        </w:rPr>
        <w:br/>
        <w:t xml:space="preserve">с наркоманией и незаконным оборотом наркотиков, привлечено более 700 человек. </w:t>
      </w:r>
      <w:r>
        <w:rPr>
          <w:highlight w:val="white"/>
        </w:rPr>
      </w:r>
      <w:r>
        <w:rPr>
          <w:highlight w:val="white"/>
        </w:rPr>
      </w:r>
    </w:p>
    <w:p>
      <w:pPr>
        <w:ind w:firstLine="709"/>
        <w:spacing w:line="276" w:lineRule="auto"/>
        <w:rPr>
          <w:bCs/>
          <w:highlight w:val="white"/>
        </w:rPr>
      </w:pPr>
      <w:r>
        <w:rPr>
          <w:highlight w:val="white"/>
        </w:rPr>
        <w:t xml:space="preserve">3</w:t>
      </w:r>
      <w:r>
        <w:rPr>
          <w:highlight w:val="white"/>
        </w:rPr>
        <w:t xml:space="preserve">) </w:t>
      </w:r>
      <w:r>
        <w:rPr>
          <w:highlight w:val="white"/>
        </w:rPr>
        <w:t xml:space="preserve">Размещение информации по предупреждению распространения наркотических средств и психотропных веще</w:t>
      </w:r>
      <w:r>
        <w:rPr>
          <w:highlight w:val="white"/>
        </w:rPr>
        <w:t xml:space="preserve">ств ср</w:t>
      </w:r>
      <w:r>
        <w:rPr>
          <w:highlight w:val="white"/>
        </w:rPr>
        <w:t xml:space="preserve">еди детей, подростков </w:t>
      </w:r>
      <w:r>
        <w:rPr>
          <w:highlight w:val="white"/>
        </w:rPr>
        <w:br/>
        <w:t xml:space="preserve">и молодежи на официальных сайтах физкультурно - спортивных организаций.</w:t>
      </w:r>
      <w:r>
        <w:rPr>
          <w:bCs/>
          <w:highlight w:val="white"/>
        </w:rPr>
      </w:r>
      <w:r>
        <w:rPr>
          <w:bCs/>
          <w:highlight w:val="white"/>
        </w:rPr>
      </w:r>
    </w:p>
    <w:p>
      <w:pPr>
        <w:ind w:firstLine="709"/>
        <w:spacing w:line="276" w:lineRule="auto"/>
        <w:rPr>
          <w:highlight w:val="white"/>
        </w:rPr>
      </w:pPr>
      <w:r>
        <w:rPr>
          <w:highlight w:val="white"/>
        </w:rPr>
        <w:t xml:space="preserve">На стендах учреждений спорта автономного округа в открытом доступе размещены тематические информационные материалы (памятки, брошюры). </w:t>
      </w:r>
      <w:r>
        <w:rPr>
          <w:highlight w:val="white"/>
        </w:rPr>
        <w:t xml:space="preserve">На официальных сайтах учреждений спорта систематически размещается информация по профилактическим направлениям «История одного обмана», «Административная ответственность несовершеннолетних», «Правда и мифы о наркотиках», «Профилактика наркомании», в</w:t>
      </w:r>
      <w:r>
        <w:rPr>
          <w:highlight w:val="white"/>
        </w:rPr>
        <w:t xml:space="preserve">идео-ролики и т.д., детский телефон доверия с единым общероссийским телефонным номером, с возможностью перехода к информационным материалам (видеороликам) о деятельности «Детского телефона доверия с единым общероссийским телефонным номером 8-800-2000-122».</w:t>
      </w:r>
      <w:r>
        <w:rPr>
          <w:highlight w:val="white"/>
        </w:rPr>
      </w:r>
      <w:r>
        <w:rPr>
          <w:highlight w:val="white"/>
        </w:rPr>
      </w:r>
    </w:p>
    <w:p>
      <w:pPr>
        <w:ind w:firstLine="709"/>
        <w:spacing w:line="276" w:lineRule="auto"/>
        <w:tabs>
          <w:tab w:val="left" w:pos="281" w:leader="none"/>
        </w:tabs>
        <w:rPr>
          <w:highlight w:val="white"/>
        </w:rPr>
      </w:pPr>
      <w:r>
        <w:rPr>
          <w:highlight w:val="white"/>
        </w:rPr>
        <w:t xml:space="preserve">В г. Нижневартовск</w:t>
      </w:r>
      <w:r>
        <w:rPr>
          <w:highlight w:val="white"/>
        </w:rPr>
        <w:t xml:space="preserve">е</w:t>
      </w:r>
      <w:r>
        <w:rPr>
          <w:highlight w:val="white"/>
        </w:rPr>
        <w:t xml:space="preserve"> </w:t>
      </w:r>
      <w:r>
        <w:rPr>
          <w:bCs/>
          <w:highlight w:val="white"/>
        </w:rPr>
        <w:t xml:space="preserve">на официальных сайтах учреждений физической культуры и спорта систематически дополняется и обновляется информация по предупреждению </w:t>
      </w:r>
      <w:r>
        <w:rPr>
          <w:highlight w:val="white"/>
        </w:rPr>
        <w:t xml:space="preserve">распространения наркотических средств и психотропных веще</w:t>
      </w:r>
      <w:r>
        <w:rPr>
          <w:highlight w:val="white"/>
        </w:rPr>
        <w:t xml:space="preserve">ств ср</w:t>
      </w:r>
      <w:r>
        <w:rPr>
          <w:highlight w:val="white"/>
        </w:rPr>
        <w:t xml:space="preserve">еди детей, подростков и молодежи</w:t>
      </w:r>
      <w:r>
        <w:rPr>
          <w:highlight w:val="white"/>
        </w:rPr>
        <w:t xml:space="preserve">.</w:t>
      </w:r>
      <w:r>
        <w:rPr>
          <w:highlight w:val="white"/>
        </w:rPr>
      </w:r>
      <w:r>
        <w:rPr>
          <w:highlight w:val="white"/>
        </w:rPr>
      </w:r>
    </w:p>
    <w:p>
      <w:pPr>
        <w:ind w:firstLine="709"/>
        <w:spacing w:line="276" w:lineRule="auto"/>
        <w:shd w:val="clear" w:color="auto" w:fill="ffffff"/>
        <w:rPr>
          <w:bCs/>
          <w:highlight w:val="white"/>
        </w:rPr>
      </w:pPr>
      <w:r>
        <w:rPr>
          <w:bCs/>
          <w:highlight w:val="white"/>
        </w:rPr>
        <w:t xml:space="preserve">В г. Пыть-Яхе разработаны и размещены в сети Интернет </w:t>
      </w:r>
      <w:r>
        <w:rPr>
          <w:bCs/>
          <w:highlight w:val="white"/>
        </w:rPr>
        <w:t xml:space="preserve">памятки: «Скажи наркотикам – нет!»</w:t>
      </w:r>
      <w:r>
        <w:rPr>
          <w:bCs/>
          <w:highlight w:val="white"/>
        </w:rPr>
        <w:t xml:space="preserve">,п</w:t>
      </w:r>
      <w:r>
        <w:rPr>
          <w:bCs/>
          <w:highlight w:val="white"/>
        </w:rPr>
        <w:t xml:space="preserve">росмотров – 153; «Последствия немедицинского упо</w:t>
      </w:r>
      <w:r>
        <w:rPr>
          <w:bCs/>
          <w:highlight w:val="white"/>
        </w:rPr>
        <w:t xml:space="preserve">требления «аптечных наркотиков», п</w:t>
      </w:r>
      <w:r>
        <w:rPr>
          <w:bCs/>
          <w:highlight w:val="white"/>
        </w:rPr>
        <w:t xml:space="preserve">росмотров – 122; </w:t>
      </w:r>
      <w:r>
        <w:rPr>
          <w:bCs/>
          <w:highlight w:val="white"/>
        </w:rPr>
        <w:t xml:space="preserve">осуществлялось  </w:t>
      </w:r>
      <w:r>
        <w:rPr>
          <w:bCs/>
          <w:highlight w:val="white"/>
        </w:rPr>
        <w:t xml:space="preserve">транслирование видеороликов «Принудительное курение и ПДК» </w:t>
      </w:r>
      <w:hyperlink r:id="rId36" w:tooltip="https://xn----9sbkcac6brh7h.xn--p1ai/34935/" w:history="1">
        <w:r>
          <w:rPr>
            <w:rStyle w:val="1689"/>
            <w:bCs/>
            <w:highlight w:val="white"/>
          </w:rPr>
          <w:t xml:space="preserve">https://xn----9sbkcac6brh7h.xn--p1ai/34935/</w:t>
        </w:r>
      </w:hyperlink>
      <w:r>
        <w:rPr>
          <w:bCs/>
          <w:highlight w:val="white"/>
        </w:rPr>
        <w:t xml:space="preserve"> </w:t>
      </w:r>
      <w:r>
        <w:rPr>
          <w:bCs/>
          <w:highlight w:val="white"/>
        </w:rPr>
        <w:t xml:space="preserve">и Принудительное курение и отравляющие вещества </w:t>
      </w:r>
      <w:hyperlink r:id="rId37" w:tooltip="https://xn----9sbkcac6brh7h.xn--p1ai/34937/" w:history="1">
        <w:r>
          <w:rPr>
            <w:rStyle w:val="1689"/>
            <w:bCs/>
            <w:highlight w:val="white"/>
          </w:rPr>
          <w:t xml:space="preserve">https://xn----9sbkcac6brh7h.xn--p1ai/34937/.</w:t>
        </w:r>
      </w:hyperlink>
      <w:r>
        <w:rPr>
          <w:bCs/>
          <w:highlight w:val="white"/>
        </w:rPr>
        <w:t xml:space="preserve"> </w:t>
      </w:r>
      <w:r>
        <w:rPr>
          <w:bCs/>
          <w:highlight w:val="white"/>
        </w:rPr>
      </w:r>
      <w:r>
        <w:rPr>
          <w:bCs/>
          <w:highlight w:val="white"/>
        </w:rPr>
      </w:r>
    </w:p>
    <w:p>
      <w:pPr>
        <w:ind w:firstLine="709"/>
        <w:spacing w:line="276" w:lineRule="auto"/>
        <w:rPr>
          <w:highlight w:val="white"/>
        </w:rPr>
      </w:pPr>
      <w:r>
        <w:rPr>
          <w:highlight w:val="white"/>
        </w:rPr>
        <w:t xml:space="preserve">В г. Покачи 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w:t>
      </w:r>
      <w:r>
        <w:rPr>
          <w:highlight w:val="white"/>
        </w:rPr>
        <w:t xml:space="preserve">«Влияние</w:t>
      </w:r>
      <w:r>
        <w:rPr>
          <w:highlight w:val="white"/>
        </w:rPr>
        <w:t xml:space="preserve"> алкоголя на организм человека», «Безобидное увлечение или опасная игра?», «Курение или здоровье выбирайте сами», «Я выбираю жизнь!», «Буклет для родителей! СНЮС-наркотик!», «Старый враг в новой маске», «Запишись в спортивную школу», «Быть здоровым МОДНО».</w:t>
      </w:r>
      <w:r>
        <w:rPr>
          <w:highlight w:val="white"/>
        </w:rPr>
      </w:r>
      <w:r>
        <w:rPr>
          <w:highlight w:val="white"/>
        </w:rPr>
      </w:r>
    </w:p>
    <w:p>
      <w:pPr>
        <w:ind w:firstLine="709"/>
        <w:spacing w:line="276" w:lineRule="auto"/>
        <w:rPr>
          <w:bCs/>
          <w:highlight w:val="white"/>
        </w:rPr>
      </w:pPr>
      <w:r>
        <w:rPr>
          <w:bCs/>
          <w:highlight w:val="white"/>
        </w:rPr>
        <w:t xml:space="preserve">В</w:t>
      </w:r>
      <w:r>
        <w:rPr>
          <w:bCs/>
          <w:highlight w:val="white"/>
        </w:rPr>
        <w:t xml:space="preserve"> </w:t>
      </w:r>
      <w:r>
        <w:rPr>
          <w:bCs/>
          <w:highlight w:val="white"/>
        </w:rPr>
        <w:t xml:space="preserve">Ханты-Мансийском</w:t>
      </w:r>
      <w:r>
        <w:rPr>
          <w:bCs/>
          <w:highlight w:val="white"/>
        </w:rPr>
        <w:t xml:space="preserve"> районе в рамках антинаркотической деятельности проведены следующие мероприятия: акция «Кинематограф против наркотиков»; информационное мероприя</w:t>
      </w:r>
      <w:r>
        <w:rPr>
          <w:bCs/>
          <w:highlight w:val="white"/>
        </w:rPr>
        <w:t xml:space="preserve">тие «Скажи наркотикам «Нет!»; онлайн акция «Мир без наркотиков», посвященная Международному дню борьбы с наркотиками; показ социальных видеороликов «О профилактике незаконного оборота наркотиков», «Наркотики стирают тебя из жизни», «Разговор о наркотиках».</w:t>
      </w:r>
      <w:r>
        <w:rPr>
          <w:bCs/>
          <w:highlight w:val="white"/>
        </w:rPr>
      </w:r>
      <w:r>
        <w:rPr>
          <w:bCs/>
          <w:highlight w:val="white"/>
        </w:rPr>
      </w:r>
    </w:p>
    <w:p>
      <w:pPr>
        <w:pStyle w:val="1694"/>
        <w:ind w:firstLine="709"/>
        <w:jc w:val="both"/>
        <w:spacing w:line="276" w:lineRule="auto"/>
        <w:widowControl/>
        <w:rPr>
          <w:sz w:val="28"/>
          <w:szCs w:val="28"/>
        </w:rPr>
      </w:pPr>
      <w:r>
        <w:rPr>
          <w:sz w:val="28"/>
          <w:szCs w:val="28"/>
          <w:highlight w:val="white"/>
        </w:rPr>
        <w:t xml:space="preserve">4) </w:t>
      </w:r>
      <w:r>
        <w:rPr>
          <w:sz w:val="28"/>
          <w:szCs w:val="28"/>
        </w:rPr>
        <w:t xml:space="preserve">И</w:t>
      </w:r>
      <w:r>
        <w:rPr>
          <w:sz w:val="28"/>
          <w:szCs w:val="28"/>
        </w:rPr>
        <w:t xml:space="preserve">спользование возможностей физической культуры и спорта, как основных средств, направленных на оздоровление и организацию досуга детей, подростков и молодежи автономного округа</w:t>
      </w:r>
      <w:r>
        <w:rPr>
          <w:sz w:val="28"/>
          <w:szCs w:val="28"/>
        </w:rPr>
        <w:t xml:space="preserve">, в </w:t>
      </w:r>
      <w:r>
        <w:rPr>
          <w:sz w:val="28"/>
          <w:szCs w:val="28"/>
          <w:highlight w:val="white"/>
        </w:rPr>
        <w:t xml:space="preserve">летн</w:t>
      </w:r>
      <w:r>
        <w:rPr>
          <w:sz w:val="28"/>
          <w:szCs w:val="28"/>
        </w:rPr>
        <w:t xml:space="preserve">юю </w:t>
      </w:r>
      <w:r>
        <w:rPr>
          <w:sz w:val="28"/>
          <w:szCs w:val="28"/>
        </w:rPr>
        <w:t xml:space="preserve">оздоровительн</w:t>
      </w:r>
      <w:r>
        <w:rPr>
          <w:sz w:val="28"/>
          <w:szCs w:val="28"/>
        </w:rPr>
        <w:t xml:space="preserve">ую</w:t>
      </w:r>
      <w:r>
        <w:rPr>
          <w:sz w:val="28"/>
          <w:szCs w:val="28"/>
        </w:rPr>
        <w:t xml:space="preserve"> кампани</w:t>
      </w:r>
      <w:r>
        <w:rPr>
          <w:sz w:val="28"/>
          <w:szCs w:val="28"/>
        </w:rPr>
        <w:t xml:space="preserve">ю</w:t>
      </w:r>
      <w:r>
        <w:rPr>
          <w:sz w:val="28"/>
          <w:szCs w:val="28"/>
        </w:rPr>
        <w:t xml:space="preserve"> 2024 года. </w:t>
      </w:r>
      <w:r>
        <w:rPr>
          <w:sz w:val="28"/>
          <w:szCs w:val="28"/>
        </w:rPr>
        <w:t xml:space="preserve">В </w:t>
      </w:r>
      <w:r>
        <w:rPr>
          <w:sz w:val="28"/>
          <w:szCs w:val="28"/>
        </w:rPr>
        <w:t xml:space="preserve">этот период в </w:t>
      </w:r>
      <w:r>
        <w:rPr>
          <w:sz w:val="28"/>
          <w:szCs w:val="28"/>
        </w:rPr>
        <w:t xml:space="preserve">рамках антинаркотической деятельности в автономном округе проведено 1 978 мероприятий (1 767 мероприятий в 2023 г</w:t>
      </w:r>
      <w:r>
        <w:rPr>
          <w:sz w:val="28"/>
          <w:szCs w:val="28"/>
        </w:rPr>
        <w:t xml:space="preserve">.</w:t>
      </w:r>
      <w:r>
        <w:rPr>
          <w:sz w:val="28"/>
          <w:szCs w:val="28"/>
        </w:rPr>
        <w:t xml:space="preserve">) с привлечением 105 677 детей и подростков (96 550 человек в 2023 г</w:t>
      </w:r>
      <w:r>
        <w:rPr>
          <w:sz w:val="28"/>
          <w:szCs w:val="28"/>
        </w:rPr>
        <w:t xml:space="preserve">.</w:t>
      </w:r>
      <w:r>
        <w:rPr>
          <w:sz w:val="28"/>
          <w:szCs w:val="28"/>
        </w:rPr>
        <w:t xml:space="preserve">). </w:t>
      </w:r>
      <w:r>
        <w:rPr>
          <w:sz w:val="28"/>
          <w:szCs w:val="28"/>
        </w:rPr>
      </w:r>
      <w:r>
        <w:rPr>
          <w:sz w:val="28"/>
          <w:szCs w:val="28"/>
        </w:rPr>
      </w:r>
    </w:p>
    <w:p>
      <w:pPr>
        <w:ind w:firstLine="709"/>
        <w:spacing w:line="276" w:lineRule="auto"/>
      </w:pPr>
      <w:r>
        <w:t xml:space="preserve">Летний отдых осуществлялся на </w:t>
      </w:r>
      <w:r>
        <w:rPr>
          <w:color w:val="000000"/>
        </w:rPr>
        <w:t xml:space="preserve">236 </w:t>
      </w:r>
      <w:r>
        <w:t xml:space="preserve">дворовых площадках </w:t>
      </w:r>
      <w:r>
        <w:rPr>
          <w:color w:val="000000"/>
          <w:highlight w:val="white"/>
        </w:rPr>
        <w:t xml:space="preserve">(в 2023 г</w:t>
      </w:r>
      <w:r>
        <w:rPr>
          <w:color w:val="000000"/>
          <w:highlight w:val="white"/>
        </w:rPr>
        <w:t xml:space="preserve">.</w:t>
      </w:r>
      <w:r>
        <w:rPr>
          <w:color w:val="000000"/>
          <w:highlight w:val="white"/>
        </w:rPr>
        <w:t xml:space="preserve"> – 204 площадки)</w:t>
      </w:r>
      <w:r>
        <w:rPr>
          <w:highlight w:val="white"/>
        </w:rPr>
        <w:t xml:space="preserve"> с общим количеством занимающихся </w:t>
      </w:r>
      <w:r>
        <w:rPr>
          <w:color w:val="000000"/>
          <w:highlight w:val="white"/>
        </w:rPr>
        <w:t xml:space="preserve">62 535</w:t>
      </w:r>
      <w:r>
        <w:rPr>
          <w:highlight w:val="white"/>
        </w:rPr>
        <w:t xml:space="preserve"> человек </w:t>
      </w:r>
      <w:r>
        <w:rPr>
          <w:color w:val="000000"/>
          <w:highlight w:val="white"/>
        </w:rPr>
        <w:t xml:space="preserve">(в 2023 г</w:t>
      </w:r>
      <w:r>
        <w:rPr>
          <w:color w:val="000000"/>
          <w:highlight w:val="white"/>
        </w:rPr>
        <w:t xml:space="preserve">.</w:t>
      </w:r>
      <w:r>
        <w:rPr>
          <w:color w:val="000000"/>
          <w:highlight w:val="white"/>
        </w:rPr>
        <w:t xml:space="preserve"> – 50 150 человек)</w:t>
      </w:r>
      <w:r>
        <w:rPr>
          <w:highlight w:val="white"/>
        </w:rPr>
        <w:t xml:space="preserve">,</w:t>
      </w:r>
      <w:r>
        <w:rPr>
          <w:bCs/>
          <w:highlight w:val="white"/>
        </w:rPr>
        <w:t xml:space="preserve"> из них </w:t>
      </w:r>
      <w:r>
        <w:rPr>
          <w:bCs/>
          <w:color w:val="000000"/>
          <w:highlight w:val="white"/>
        </w:rPr>
        <w:t xml:space="preserve">155</w:t>
      </w:r>
      <w:r>
        <w:rPr>
          <w:bCs/>
          <w:highlight w:val="white"/>
        </w:rPr>
        <w:t xml:space="preserve"> </w:t>
      </w:r>
      <w:r>
        <w:rPr>
          <w:rStyle w:val="1684"/>
          <w:sz w:val="28"/>
          <w:szCs w:val="28"/>
          <w:highlight w:val="white"/>
        </w:rPr>
        <w:t xml:space="preserve">человека из числа детей состоящих на учете в ОВД и КДН и </w:t>
      </w:r>
      <w:r>
        <w:rPr>
          <w:rStyle w:val="1684"/>
          <w:color w:val="000000"/>
          <w:sz w:val="28"/>
          <w:szCs w:val="28"/>
          <w:highlight w:val="white"/>
        </w:rPr>
        <w:t xml:space="preserve">536 </w:t>
      </w:r>
      <w:r>
        <w:rPr>
          <w:rStyle w:val="1684"/>
          <w:sz w:val="28"/>
          <w:szCs w:val="28"/>
          <w:highlight w:val="white"/>
        </w:rPr>
        <w:t xml:space="preserve">человек с ограниченн</w:t>
      </w:r>
      <w:r>
        <w:rPr>
          <w:rStyle w:val="1684"/>
          <w:sz w:val="28"/>
          <w:szCs w:val="28"/>
        </w:rPr>
        <w:t xml:space="preserve">ыми возможностями здоровья</w:t>
      </w:r>
      <w:r>
        <w:t xml:space="preserve">.</w:t>
      </w:r>
      <w:r/>
    </w:p>
    <w:p>
      <w:pPr>
        <w:ind w:firstLine="709"/>
        <w:spacing w:line="276" w:lineRule="auto"/>
        <w:rPr>
          <w:bCs/>
        </w:rPr>
      </w:pPr>
      <w:r>
        <w:t xml:space="preserve">Организацию занятости и оздоровления детей, средствами физической культуры и спорта, осуществлял</w:t>
      </w:r>
      <w:r>
        <w:rPr>
          <w:highlight w:val="white"/>
        </w:rPr>
        <w:t xml:space="preserve">и </w:t>
      </w:r>
      <w:r>
        <w:rPr>
          <w:color w:val="000000"/>
          <w:highlight w:val="white"/>
        </w:rPr>
        <w:t xml:space="preserve">4 </w:t>
      </w:r>
      <w:r>
        <w:rPr>
          <w:highlight w:val="white"/>
        </w:rPr>
        <w:t xml:space="preserve">клуба по месту жительства </w:t>
      </w:r>
      <w:r>
        <w:rPr>
          <w:color w:val="000000"/>
          <w:highlight w:val="white"/>
        </w:rPr>
        <w:t xml:space="preserve">(в 2023 г</w:t>
      </w:r>
      <w:r>
        <w:rPr>
          <w:color w:val="000000"/>
          <w:highlight w:val="white"/>
        </w:rPr>
        <w:t xml:space="preserve">.</w:t>
      </w:r>
      <w:r>
        <w:rPr>
          <w:color w:val="000000"/>
          <w:highlight w:val="white"/>
        </w:rPr>
        <w:t xml:space="preserve"> – 11 клубов) </w:t>
      </w:r>
      <w:r>
        <w:rPr>
          <w:highlight w:val="white"/>
        </w:rPr>
        <w:t xml:space="preserve">с общим количеством 285</w:t>
      </w:r>
      <w:r>
        <w:rPr>
          <w:color w:val="000000"/>
          <w:highlight w:val="white"/>
        </w:rPr>
        <w:t xml:space="preserve"> </w:t>
      </w:r>
      <w:r>
        <w:rPr>
          <w:highlight w:val="white"/>
        </w:rPr>
        <w:t xml:space="preserve">человек </w:t>
      </w:r>
      <w:r>
        <w:rPr>
          <w:color w:val="000000"/>
          <w:highlight w:val="white"/>
        </w:rPr>
        <w:t xml:space="preserve">(в 2023 году – 706 человек)</w:t>
      </w:r>
      <w:r>
        <w:rPr>
          <w:highlight w:val="white"/>
        </w:rPr>
        <w:t xml:space="preserve">.</w:t>
      </w:r>
      <w:r>
        <w:rPr>
          <w:bCs/>
        </w:rPr>
      </w:r>
      <w:r>
        <w:rPr>
          <w:bCs/>
        </w:rPr>
      </w:r>
    </w:p>
    <w:p>
      <w:pPr>
        <w:pStyle w:val="1682"/>
        <w:ind w:firstLine="709"/>
        <w:jc w:val="both"/>
        <w:spacing w:line="276" w:lineRule="auto"/>
        <w:rPr>
          <w:sz w:val="28"/>
          <w:szCs w:val="28"/>
        </w:rPr>
      </w:pPr>
      <w:r>
        <w:rPr>
          <w:sz w:val="28"/>
          <w:szCs w:val="28"/>
          <w:highlight w:val="white"/>
        </w:rPr>
        <w:t xml:space="preserve">Работали 37 спортивно-оздоровительных лагерей с дневным пребыванием на базе СДЮСШОР, ДЮСШ и других учреждений (в 2023 г</w:t>
      </w:r>
      <w:r>
        <w:rPr>
          <w:sz w:val="28"/>
          <w:szCs w:val="28"/>
          <w:highlight w:val="white"/>
        </w:rPr>
        <w:t xml:space="preserve">.</w:t>
      </w:r>
      <w:r>
        <w:rPr>
          <w:sz w:val="28"/>
          <w:szCs w:val="28"/>
          <w:highlight w:val="white"/>
        </w:rPr>
        <w:t xml:space="preserve"> – </w:t>
      </w:r>
      <w:r>
        <w:rPr>
          <w:sz w:val="28"/>
          <w:szCs w:val="28"/>
          <w:highlight w:val="white"/>
        </w:rPr>
        <w:t xml:space="preserve">такое же количество</w:t>
      </w:r>
      <w:r>
        <w:rPr>
          <w:sz w:val="28"/>
          <w:szCs w:val="28"/>
          <w:highlight w:val="white"/>
        </w:rPr>
        <w:t xml:space="preserve">), охвачено 3 313 человек (в 2023 г</w:t>
      </w:r>
      <w:r>
        <w:rPr>
          <w:sz w:val="28"/>
          <w:szCs w:val="28"/>
          <w:highlight w:val="white"/>
        </w:rPr>
        <w:t xml:space="preserve">.</w:t>
      </w:r>
      <w:r>
        <w:rPr>
          <w:sz w:val="28"/>
          <w:szCs w:val="28"/>
          <w:highlight w:val="white"/>
        </w:rPr>
        <w:t xml:space="preserve"> – 3</w:t>
      </w:r>
      <w:r>
        <w:rPr>
          <w:sz w:val="28"/>
          <w:szCs w:val="28"/>
        </w:rPr>
        <w:t xml:space="preserve"> 664 человека),</w:t>
      </w:r>
      <w:r>
        <w:rPr>
          <w:bCs/>
          <w:sz w:val="28"/>
          <w:szCs w:val="28"/>
        </w:rPr>
        <w:t xml:space="preserve"> </w:t>
      </w:r>
      <w:r>
        <w:rPr>
          <w:bCs/>
          <w:sz w:val="28"/>
          <w:szCs w:val="28"/>
        </w:rPr>
        <w:br/>
        <w:t xml:space="preserve">из них 17</w:t>
      </w:r>
      <w:r>
        <w:rPr>
          <w:bCs/>
          <w:color w:val="ff0000"/>
          <w:sz w:val="28"/>
          <w:szCs w:val="28"/>
        </w:rPr>
        <w:t xml:space="preserve"> </w:t>
      </w:r>
      <w:r>
        <w:rPr>
          <w:rStyle w:val="1684"/>
          <w:sz w:val="28"/>
          <w:szCs w:val="28"/>
        </w:rPr>
        <w:t xml:space="preserve">человек из числа детей, состоящих на учете в ОВД и КДН </w:t>
      </w:r>
      <w:r>
        <w:rPr>
          <w:rStyle w:val="1684"/>
          <w:sz w:val="28"/>
          <w:szCs w:val="28"/>
        </w:rPr>
        <w:br/>
        <w:t xml:space="preserve">и 11 человек с ограниченными возможностями здоровья</w:t>
      </w:r>
      <w:r>
        <w:rPr>
          <w:sz w:val="28"/>
          <w:szCs w:val="28"/>
        </w:rPr>
        <w:t xml:space="preserve">.</w:t>
      </w:r>
      <w:r>
        <w:rPr>
          <w:sz w:val="28"/>
          <w:szCs w:val="28"/>
        </w:rPr>
      </w:r>
      <w:r>
        <w:rPr>
          <w:sz w:val="28"/>
          <w:szCs w:val="28"/>
        </w:rPr>
      </w:r>
    </w:p>
    <w:p>
      <w:pPr>
        <w:ind w:firstLine="709"/>
        <w:spacing w:line="276" w:lineRule="auto"/>
      </w:pPr>
      <w:r>
        <w:t xml:space="preserve">Организовано 14 профильных смены на базе загородных </w:t>
      </w:r>
      <w:r>
        <w:br/>
        <w:t xml:space="preserve">и палаточных оздоровительных лагерей </w:t>
      </w:r>
      <w:r>
        <w:t xml:space="preserve">в</w:t>
      </w:r>
      <w:r>
        <w:t xml:space="preserve"> </w:t>
      </w:r>
      <w:r>
        <w:t xml:space="preserve">Нижневартовском</w:t>
      </w:r>
      <w:r>
        <w:t xml:space="preserve">, Сургутском </w:t>
      </w:r>
      <w:r>
        <w:br/>
        <w:t xml:space="preserve">и Советском районах, г. Покачи, Мегион. Данным видом отдыха было охвачено </w:t>
      </w:r>
      <w:r>
        <w:rPr>
          <w:color w:val="000000"/>
        </w:rPr>
        <w:t xml:space="preserve">1 319</w:t>
      </w:r>
      <w:r>
        <w:rPr>
          <w:color w:val="ff0000"/>
        </w:rPr>
        <w:t xml:space="preserve"> </w:t>
      </w:r>
      <w:r>
        <w:t xml:space="preserve">подростков.</w:t>
      </w:r>
      <w:r/>
    </w:p>
    <w:p>
      <w:pPr>
        <w:ind w:firstLine="709"/>
        <w:spacing w:line="276" w:lineRule="auto"/>
      </w:pPr>
      <w:r>
        <w:t xml:space="preserve">Всего привлечено к активному отдыху – 72 596 человек </w:t>
      </w:r>
      <w:r>
        <w:rPr>
          <w:color w:val="000000"/>
        </w:rPr>
        <w:t xml:space="preserve">(в 2023 г</w:t>
      </w:r>
      <w:r>
        <w:rPr>
          <w:color w:val="000000"/>
        </w:rPr>
        <w:t xml:space="preserve">.</w:t>
      </w:r>
      <w:r>
        <w:rPr>
          <w:color w:val="000000"/>
        </w:rPr>
        <w:t xml:space="preserve"> – </w:t>
      </w:r>
      <w:r>
        <w:t xml:space="preserve">65 461</w:t>
      </w:r>
      <w:r>
        <w:rPr>
          <w:color w:val="000000"/>
        </w:rPr>
        <w:t xml:space="preserve"> человек)</w:t>
      </w:r>
      <w:r>
        <w:t xml:space="preserve">, в том числе 213 человек состоящих на учете в КДН</w:t>
      </w:r>
      <w:r>
        <w:rPr>
          <w:rStyle w:val="1684"/>
          <w:sz w:val="28"/>
          <w:szCs w:val="28"/>
        </w:rPr>
        <w:t xml:space="preserve"> и 547</w:t>
      </w:r>
      <w:r>
        <w:rPr>
          <w:rStyle w:val="1684"/>
          <w:sz w:val="28"/>
          <w:szCs w:val="28"/>
          <w:highlight w:val="yellow"/>
        </w:rPr>
        <w:t xml:space="preserve"> </w:t>
      </w:r>
      <w:r>
        <w:rPr>
          <w:rStyle w:val="1684"/>
          <w:sz w:val="28"/>
          <w:szCs w:val="28"/>
        </w:rPr>
        <w:t xml:space="preserve">человека с ограниченными возможностями здоровья.</w:t>
      </w:r>
      <w:r/>
    </w:p>
    <w:p>
      <w:pPr>
        <w:pStyle w:val="1683"/>
        <w:ind w:firstLine="709"/>
        <w:jc w:val="both"/>
        <w:spacing w:line="276" w:lineRule="auto"/>
        <w:rPr>
          <w:rFonts w:ascii="Times New Roman" w:hAnsi="Times New Roman" w:cs="Times New Roman"/>
          <w:sz w:val="28"/>
          <w:szCs w:val="28"/>
        </w:rPr>
      </w:pPr>
      <w:r/>
      <w:bookmarkStart w:id="4" w:name="_Hlk63782071"/>
      <w:r>
        <w:rPr>
          <w:rFonts w:ascii="Times New Roman" w:hAnsi="Times New Roman" w:cs="Times New Roman"/>
          <w:sz w:val="28"/>
          <w:szCs w:val="28"/>
        </w:rPr>
        <w:t xml:space="preserve">В</w:t>
      </w:r>
      <w:r>
        <w:rPr>
          <w:rFonts w:ascii="Times New Roman" w:hAnsi="Times New Roman" w:cs="Times New Roman"/>
          <w:sz w:val="28"/>
          <w:szCs w:val="28"/>
        </w:rPr>
        <w:t xml:space="preserve"> целом в</w:t>
      </w:r>
      <w:r>
        <w:rPr>
          <w:rFonts w:ascii="Times New Roman" w:hAnsi="Times New Roman" w:cs="Times New Roman"/>
          <w:sz w:val="28"/>
          <w:szCs w:val="28"/>
        </w:rPr>
        <w:t xml:space="preserve"> 2024 году проведено 385 спортивных мероприятий окружного, межрегионального, всероссийского и международного уровней. </w:t>
      </w:r>
      <w:r>
        <w:rPr>
          <w:rFonts w:ascii="Times New Roman" w:hAnsi="Times New Roman" w:cs="Times New Roman"/>
          <w:sz w:val="28"/>
          <w:szCs w:val="28"/>
        </w:rPr>
        <w:t xml:space="preserve">Охват участников составил 78 405 человек. В том числе, проведено </w:t>
      </w:r>
      <w:r>
        <w:rPr>
          <w:rFonts w:ascii="Times New Roman" w:hAnsi="Times New Roman" w:cs="Times New Roman"/>
          <w:sz w:val="28"/>
          <w:szCs w:val="28"/>
        </w:rPr>
        <w:br/>
        <w:t xml:space="preserve">100 спортивных мероприятий в рамках комплексных спартакиад с участием </w:t>
      </w:r>
      <w:r>
        <w:rPr>
          <w:rFonts w:ascii="Times New Roman" w:hAnsi="Times New Roman" w:cs="Times New Roman"/>
          <w:sz w:val="28"/>
          <w:szCs w:val="28"/>
        </w:rPr>
        <w:br/>
        <w:t xml:space="preserve">8 084 человек.</w:t>
      </w:r>
      <w:r>
        <w:rPr>
          <w:rFonts w:ascii="Times New Roman" w:hAnsi="Times New Roman" w:cs="Times New Roman"/>
          <w:sz w:val="28"/>
          <w:szCs w:val="28"/>
        </w:rPr>
      </w:r>
      <w:r>
        <w:rPr>
          <w:rFonts w:ascii="Times New Roman" w:hAnsi="Times New Roman" w:cs="Times New Roman"/>
          <w:sz w:val="28"/>
          <w:szCs w:val="28"/>
        </w:rPr>
      </w:r>
    </w:p>
    <w:p>
      <w:pPr>
        <w:pStyle w:val="1683"/>
        <w:ind w:firstLine="709"/>
        <w:jc w:val="both"/>
        <w:spacing w:line="276" w:lineRule="auto"/>
        <w:rPr>
          <w:rFonts w:ascii="Times New Roman" w:hAnsi="Times New Roman" w:cs="Times New Roman"/>
          <w:sz w:val="28"/>
          <w:szCs w:val="28"/>
        </w:rPr>
      </w:pPr>
      <w:r/>
      <w:bookmarkStart w:id="5" w:name="_Hlk29979635"/>
      <w:r>
        <w:rPr>
          <w:rFonts w:ascii="Times New Roman" w:hAnsi="Times New Roman" w:cs="Times New Roman"/>
          <w:sz w:val="28"/>
          <w:szCs w:val="28"/>
        </w:rPr>
        <w:t xml:space="preserve">- Н</w:t>
      </w:r>
      <w:r>
        <w:rPr>
          <w:rFonts w:ascii="Times New Roman" w:hAnsi="Times New Roman" w:cs="Times New Roman"/>
          <w:sz w:val="28"/>
          <w:szCs w:val="28"/>
        </w:rPr>
        <w:t xml:space="preserve">аиболее значимые, крупномасштабные</w:t>
      </w:r>
      <w:r>
        <w:rPr>
          <w:rFonts w:ascii="Times New Roman" w:hAnsi="Times New Roman" w:cs="Times New Roman"/>
          <w:sz w:val="28"/>
          <w:szCs w:val="28"/>
        </w:rPr>
        <w:t xml:space="preserve"> мероприятия в рамках окружных программ</w:t>
      </w:r>
      <w:r>
        <w:rPr>
          <w:rFonts w:ascii="Times New Roman" w:hAnsi="Times New Roman" w:cs="Times New Roman"/>
          <w:sz w:val="28"/>
          <w:szCs w:val="28"/>
        </w:rPr>
        <w:t xml:space="preserve">:</w:t>
      </w:r>
      <w:bookmarkEnd w:id="4"/>
      <w:r/>
      <w:bookmarkEnd w:id="5"/>
      <w:r>
        <w:rPr>
          <w:rFonts w:ascii="Times New Roman" w:hAnsi="Times New Roman" w:cs="Times New Roman"/>
          <w:sz w:val="28"/>
          <w:szCs w:val="28"/>
        </w:rPr>
      </w:r>
      <w:r>
        <w:rPr>
          <w:rFonts w:ascii="Times New Roman" w:hAnsi="Times New Roman" w:cs="Times New Roman"/>
          <w:sz w:val="28"/>
          <w:szCs w:val="28"/>
        </w:rPr>
      </w:r>
    </w:p>
    <w:p>
      <w:pPr>
        <w:contextualSpacing/>
        <w:ind w:firstLine="709"/>
        <w:spacing w:line="276" w:lineRule="auto"/>
      </w:pPr>
      <w:r>
        <w:t xml:space="preserve">- </w:t>
      </w:r>
      <w:r>
        <w:t xml:space="preserve">XLII открытая Всероссийская массовая лыжная гонка «Лыжня России», муниципальные образования автономного округа, 16 449 участников;</w:t>
      </w:r>
      <w:r/>
    </w:p>
    <w:p>
      <w:pPr>
        <w:contextualSpacing/>
        <w:ind w:firstLine="709"/>
        <w:spacing w:line="276" w:lineRule="auto"/>
      </w:pPr>
      <w:r>
        <w:t xml:space="preserve">- </w:t>
      </w:r>
      <w:r>
        <w:t xml:space="preserve">Первенство России (юниоры, юниорки) по биатлону, </w:t>
      </w:r>
      <w:r>
        <w:br/>
        <w:t xml:space="preserve">Ханты-Мансийск, 174 участника;</w:t>
      </w:r>
      <w:r/>
    </w:p>
    <w:p>
      <w:pPr>
        <w:contextualSpacing/>
        <w:ind w:firstLine="709"/>
        <w:spacing w:line="276" w:lineRule="auto"/>
      </w:pPr>
      <w:r>
        <w:t xml:space="preserve">- </w:t>
      </w:r>
      <w:r>
        <w:t xml:space="preserve">Всероссийский полумарафон «ЗаБег</w:t>
      </w:r>
      <w:r>
        <w:t xml:space="preserve">.Р</w:t>
      </w:r>
      <w:r>
        <w:t xml:space="preserve">Ф», г. Ханты-Мансийск, </w:t>
      </w:r>
      <w:r>
        <w:br/>
        <w:t xml:space="preserve">751 участник;</w:t>
      </w:r>
      <w:r/>
    </w:p>
    <w:p>
      <w:pPr>
        <w:contextualSpacing/>
        <w:ind w:firstLine="709"/>
        <w:spacing w:line="276" w:lineRule="auto"/>
      </w:pPr>
      <w:r>
        <w:t xml:space="preserve">- </w:t>
      </w:r>
      <w:r>
        <w:t xml:space="preserve">Всероссийские спортивные соревнования по конкуру и выездке  «Кубок Губернатора Ханты-Мансийского автономного округа – Югры» </w:t>
      </w:r>
      <w:r>
        <w:br/>
        <w:t xml:space="preserve">г. Ханты-Мансийск, 150 участников.</w:t>
      </w:r>
      <w:r/>
    </w:p>
    <w:p>
      <w:pPr>
        <w:contextualSpacing/>
        <w:ind w:firstLine="709"/>
        <w:spacing w:line="276" w:lineRule="auto"/>
      </w:pPr>
      <w:r>
        <w:t xml:space="preserve">XI Международный Югорский лыжный марафон «UGRA SKI», </w:t>
      </w:r>
      <w:r>
        <w:br/>
        <w:t xml:space="preserve">г. Ханты-Мансийск, 3 734 участника;</w:t>
      </w:r>
      <w:r/>
    </w:p>
    <w:p>
      <w:pPr>
        <w:contextualSpacing/>
        <w:ind w:firstLine="709"/>
        <w:spacing w:line="276" w:lineRule="auto"/>
      </w:pPr>
      <w:r>
        <w:t xml:space="preserve">- </w:t>
      </w:r>
      <w:r>
        <w:t xml:space="preserve">Международные соревнования на Кубок Губернатора автономного округа по гребле на обласах, в рамках праздника Вин хон хатл, </w:t>
      </w:r>
      <w:r>
        <w:br/>
        <w:t xml:space="preserve">г. Ханты-Мансийск, 200 участников.</w:t>
      </w:r>
      <w:r/>
    </w:p>
    <w:p>
      <w:pPr>
        <w:ind w:firstLine="709"/>
        <w:spacing w:line="276" w:lineRule="auto"/>
      </w:pPr>
      <w:r>
        <w:t xml:space="preserve">На официальном общероссийском сайте</w:t>
      </w:r>
      <w:r>
        <w:rPr>
          <w:b/>
        </w:rPr>
        <w:t xml:space="preserve"> </w:t>
      </w:r>
      <w:r>
        <w:t xml:space="preserve">Всероссийского физкультурно-спортивного комплекса «Готов к труду и обороне» GTO.RU, на окончание отчётного периода, зарегистрировано 349 970 жителей автономного округа. В автономном округе </w:t>
      </w:r>
      <w:r>
        <w:t xml:space="preserve">проведены</w:t>
      </w:r>
      <w:r>
        <w:t xml:space="preserve">: Фестиваль Всероссийского физкультурно-спортивного комплекса «Готов к труду </w:t>
      </w:r>
      <w:r>
        <w:br/>
        <w:t xml:space="preserve">и обороне» среди семейных команд; Фестиваль Всероссийского физкультурно-</w:t>
      </w:r>
      <w:r>
        <w:t xml:space="preserve">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r/>
    </w:p>
    <w:p>
      <w:pPr>
        <w:ind w:firstLine="709"/>
        <w:spacing w:line="276" w:lineRule="auto"/>
        <w:rPr>
          <w:b/>
          <w:highlight w:val="yellow"/>
        </w:rPr>
        <w:outlineLvl w:val="1"/>
      </w:pPr>
      <w:r>
        <w:rPr>
          <w:b/>
          <w:highlight w:val="yellow"/>
        </w:rPr>
      </w:r>
      <w:r>
        <w:rPr>
          <w:b/>
          <w:highlight w:val="yellow"/>
        </w:rPr>
      </w:r>
      <w:r>
        <w:rPr>
          <w:b/>
          <w:highlight w:val="yellow"/>
        </w:rPr>
      </w:r>
    </w:p>
    <w:p>
      <w:pPr>
        <w:ind w:firstLine="709"/>
        <w:spacing w:line="276" w:lineRule="auto"/>
        <w:rPr>
          <w:b/>
          <w:highlight w:val="yellow"/>
        </w:rPr>
        <w:sectPr>
          <w:headerReference w:type="default" r:id="rId11"/>
          <w:headerReference w:type="first" r:id="rId12"/>
          <w:footerReference w:type="first" r:id="rId17"/>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r>
        <w:rPr>
          <w:b/>
          <w:highlight w:val="yellow"/>
        </w:rPr>
      </w:r>
    </w:p>
    <w:p>
      <w:pPr>
        <w:ind w:firstLine="709"/>
        <w:spacing w:line="276" w:lineRule="auto"/>
        <w:rPr>
          <w:b/>
        </w:rPr>
        <w:outlineLvl w:val="1"/>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rPr>
          <w:b/>
        </w:rPr>
      </w:r>
      <w:r>
        <w:rPr>
          <w:b/>
        </w:rPr>
      </w:r>
    </w:p>
    <w:p>
      <w:pPr>
        <w:ind w:firstLine="709"/>
        <w:spacing w:line="276" w:lineRule="auto"/>
        <w:tabs>
          <w:tab w:val="left" w:pos="540" w:leader="none"/>
        </w:tabs>
        <w:rPr>
          <w:b/>
          <w:i/>
        </w:rPr>
      </w:pPr>
      <w:r>
        <w:rPr>
          <w:b/>
          <w:i/>
        </w:rPr>
      </w:r>
      <w:r>
        <w:rPr>
          <w:b/>
          <w:i/>
        </w:rPr>
      </w:r>
      <w:r>
        <w:rPr>
          <w:b/>
          <w:i/>
        </w:rPr>
      </w:r>
    </w:p>
    <w:p>
      <w:pPr>
        <w:ind w:firstLine="709"/>
        <w:spacing w:line="276" w:lineRule="auto"/>
        <w:tabs>
          <w:tab w:val="left" w:pos="540" w:leader="none"/>
        </w:tabs>
      </w:pPr>
      <w:r>
        <w:t xml:space="preserve">В</w:t>
      </w:r>
      <w:r>
        <w:t xml:space="preserve"> </w:t>
      </w:r>
      <w:r>
        <w:t xml:space="preserve">Ханты-Мансийском</w:t>
      </w:r>
      <w:r>
        <w:t xml:space="preserve">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w:t>
      </w:r>
      <w:r>
        <w:t xml:space="preserve">.04.</w:t>
      </w:r>
      <w:r>
        <w:t xml:space="preserve">2021 </w:t>
      </w:r>
      <w:r>
        <w:br/>
        <w:t xml:space="preserve">№ 102-рг.</w:t>
      </w:r>
      <w:r>
        <w:t xml:space="preserve"> </w:t>
      </w:r>
      <w:r/>
    </w:p>
    <w:p>
      <w:pPr>
        <w:ind w:firstLine="709"/>
        <w:spacing w:line="276" w:lineRule="auto"/>
        <w:tabs>
          <w:tab w:val="left" w:pos="540" w:leader="none"/>
        </w:tabs>
        <w:rPr>
          <w:b/>
          <w:bCs/>
          <w:i/>
        </w:rPr>
      </w:pPr>
      <w:r>
        <w:rPr>
          <w:b/>
          <w:i/>
        </w:rPr>
        <w:t xml:space="preserve">1. «Совершенствование антинаркотической деятельности и государственного </w:t>
      </w:r>
      <w:r>
        <w:rPr>
          <w:b/>
          <w:i/>
        </w:rPr>
        <w:t xml:space="preserve">к</w:t>
      </w:r>
      <w:r>
        <w:rPr>
          <w:b/>
          <w:i/>
        </w:rPr>
        <w:t xml:space="preserve">онтроля за</w:t>
      </w:r>
      <w:r>
        <w:rPr>
          <w:b/>
          <w:i/>
        </w:rPr>
        <w:t xml:space="preserve"> оборотом наркотиков»</w:t>
      </w:r>
      <w:r>
        <w:rPr>
          <w:b/>
          <w:bCs/>
          <w:i/>
        </w:rPr>
      </w:r>
      <w:r>
        <w:rPr>
          <w:b/>
          <w:bCs/>
          <w:i/>
        </w:rPr>
      </w:r>
    </w:p>
    <w:p>
      <w:pPr>
        <w:ind w:firstLine="709"/>
        <w:spacing w:line="276" w:lineRule="auto"/>
        <w:widowControl w:val="off"/>
      </w:pPr>
      <w:r>
        <w:t xml:space="preserve">Задачи, решаемые в этом приоритетном направлении:</w:t>
      </w:r>
      <w:r/>
    </w:p>
    <w:p>
      <w:pPr>
        <w:ind w:left="0" w:right="0" w:firstLine="709"/>
        <w:spacing w:line="276" w:lineRule="auto"/>
        <w:widowControl w:val="off"/>
      </w:pPr>
      <w:r>
        <w:t xml:space="preserve">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r/>
    </w:p>
    <w:p>
      <w:pPr>
        <w:ind w:left="0" w:right="0" w:firstLine="709"/>
        <w:spacing w:line="276" w:lineRule="auto"/>
        <w:widowControl w:val="off"/>
      </w:pPr>
      <w:r>
        <w:t xml:space="preserve">обеспечение эффективной координации антинаркотической деятельности;</w:t>
      </w:r>
      <w:r/>
    </w:p>
    <w:p>
      <w:pPr>
        <w:ind w:left="0" w:right="0" w:firstLine="709"/>
        <w:spacing w:line="276" w:lineRule="auto"/>
        <w:widowControl w:val="off"/>
      </w:pPr>
      <w:r>
        <w:t xml:space="preserve">совершенствование системы мониторинга наркоситуации, повышение оперативности и объективности исследований в сфере </w:t>
      </w:r>
      <w:r>
        <w:t xml:space="preserve">контроля за</w:t>
      </w:r>
      <w:r>
        <w:t xml:space="preserve"> оборотом наркотиков.</w:t>
      </w:r>
      <w:r/>
    </w:p>
    <w:p>
      <w:pPr>
        <w:pStyle w:val="1652"/>
        <w:ind w:left="0" w:right="0" w:firstLine="709"/>
        <w:spacing w:line="276" w:lineRule="auto"/>
        <w:widowControl w:val="off"/>
      </w:pPr>
      <w:r>
        <w:t xml:space="preserve">Меры, обеспечивающие решение указанных задач:</w:t>
      </w:r>
      <w:r/>
    </w:p>
    <w:p>
      <w:pPr>
        <w:ind w:left="0" w:right="0" w:firstLine="709"/>
        <w:spacing w:line="276" w:lineRule="auto"/>
        <w:widowControl w:val="off"/>
      </w:pPr>
      <w:r>
        <w:t xml:space="preserve">принятие нормативных правовых актов, повышающих эффективность антинаркотической деятельности;</w:t>
      </w:r>
      <w:r/>
    </w:p>
    <w:p>
      <w:pPr>
        <w:ind w:left="0" w:right="0" w:firstLine="709"/>
        <w:spacing w:line="276" w:lineRule="auto"/>
        <w:widowControl w:val="off"/>
      </w:pPr>
      <w:r>
        <w:t xml:space="preserve">обеспечение согласованности мер по реализации Стратегии </w:t>
      </w:r>
      <w:r>
        <w:br/>
        <w:t xml:space="preserve">на региональном и муниципальном уровнях;</w:t>
      </w:r>
      <w:r/>
    </w:p>
    <w:p>
      <w:pPr>
        <w:ind w:left="0" w:right="0" w:firstLine="709"/>
        <w:spacing w:line="276" w:lineRule="auto"/>
        <w:widowControl w:val="off"/>
      </w:pPr>
      <w:r>
        <w:t xml:space="preserve">методическое обеспечение </w:t>
      </w:r>
      <w:r>
        <w:t xml:space="preserve">деятельности органов местного самоуправления муниципальных образований автономного округа</w:t>
      </w:r>
      <w:r>
        <w:t xml:space="preserve"> </w:t>
      </w:r>
      <w:r>
        <w:br/>
        <w:t xml:space="preserve">по вопросам реализации антинаркотической политики</w:t>
      </w:r>
      <w:r>
        <w:rPr>
          <w:rFonts w:eastAsia="Calibri"/>
        </w:rPr>
        <w:t xml:space="preserve"> в </w:t>
      </w:r>
      <w:r>
        <w:t xml:space="preserve">автономном округе;</w:t>
      </w:r>
      <w:r/>
    </w:p>
    <w:p>
      <w:pPr>
        <w:ind w:left="0" w:right="0" w:firstLine="709"/>
        <w:spacing w:line="276" w:lineRule="auto"/>
        <w:widowControl w:val="off"/>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r/>
    </w:p>
    <w:p>
      <w:pPr>
        <w:ind w:left="0" w:right="0" w:firstLine="709"/>
        <w:spacing w:line="276" w:lineRule="auto"/>
        <w:tabs>
          <w:tab w:val="left" w:pos="540" w:leader="none"/>
        </w:tabs>
      </w:pPr>
      <w:r>
        <w:t xml:space="preserve">создание условий для эффективного участия общественных </w:t>
      </w:r>
      <w:r>
        <w:t xml:space="preserve">объединений, организаций и граждан в антинаркотической деятельности.</w:t>
      </w:r>
      <w:r/>
    </w:p>
    <w:p>
      <w:pPr>
        <w:ind w:firstLine="709"/>
        <w:spacing w:line="276" w:lineRule="auto"/>
        <w:tabs>
          <w:tab w:val="left" w:pos="540" w:leader="none"/>
        </w:tabs>
      </w:pPr>
      <w:r>
        <w:t xml:space="preserve">Информация о реализации указан</w:t>
      </w:r>
      <w:r>
        <w:t xml:space="preserve">ного приоритетного направления:</w:t>
      </w:r>
      <w:r/>
    </w:p>
    <w:p>
      <w:pPr>
        <w:ind w:firstLine="709"/>
        <w:spacing w:line="276" w:lineRule="auto"/>
        <w:tabs>
          <w:tab w:val="left" w:pos="540" w:leader="none"/>
        </w:tabs>
      </w:pPr>
      <w:r/>
      <w:r/>
    </w:p>
    <w:p>
      <w:pPr>
        <w:ind w:firstLine="709"/>
        <w:spacing w:line="276" w:lineRule="auto"/>
        <w:tabs>
          <w:tab w:val="left" w:pos="540" w:leader="none"/>
        </w:tabs>
      </w:pPr>
      <w:r/>
      <w:r/>
    </w:p>
    <w:tbl>
      <w:tblPr>
        <w:tblStyle w:val="1651"/>
        <w:tblW w:w="9464" w:type="dxa"/>
        <w:tblLayout w:type="fixed"/>
        <w:tblLook w:val="04A0" w:firstRow="1" w:lastRow="0" w:firstColumn="1" w:lastColumn="0" w:noHBand="0" w:noVBand="1"/>
      </w:tblPr>
      <w:tblGrid>
        <w:gridCol w:w="672"/>
        <w:gridCol w:w="2413"/>
        <w:gridCol w:w="6379"/>
      </w:tblGrid>
      <w:tr>
        <w:trPr>
          <w:tblHeader/>
        </w:trPr>
        <w:tc>
          <w:tcPr>
            <w:shd w:val="clear" w:color="ffffff" w:fill="ffffff"/>
            <w:tcW w:w="672" w:type="dxa"/>
            <w:vAlign w:val="center"/>
            <w:textDirection w:val="lrTb"/>
            <w:noWrap w:val="false"/>
          </w:tcPr>
          <w:p>
            <w:pPr>
              <w:ind w:firstLine="0"/>
              <w:jc w:val="center"/>
              <w:spacing w:line="240" w:lineRule="auto"/>
              <w:rPr>
                <w:color w:val="000000"/>
                <w:sz w:val="22"/>
                <w:szCs w:val="22"/>
              </w:rPr>
              <w:outlineLvl w:val="1"/>
            </w:pPr>
            <w:r>
              <w:rPr>
                <w:color w:val="000000" w:themeColor="text1"/>
                <w:sz w:val="22"/>
                <w:szCs w:val="22"/>
              </w:rPr>
              <w:t xml:space="preserve">№ </w:t>
            </w:r>
            <w:r>
              <w:rPr>
                <w:color w:val="000000" w:themeColor="text1"/>
                <w:sz w:val="22"/>
                <w:szCs w:val="22"/>
              </w:rPr>
              <w:t xml:space="preserve">п</w:t>
            </w:r>
            <w:r>
              <w:rPr>
                <w:color w:val="000000" w:themeColor="text1"/>
                <w:sz w:val="22"/>
                <w:szCs w:val="22"/>
              </w:rPr>
              <w:t xml:space="preserve">/п</w:t>
            </w:r>
            <w:r>
              <w:rPr>
                <w:color w:val="000000"/>
                <w:sz w:val="22"/>
                <w:szCs w:val="22"/>
              </w:rPr>
            </w:r>
            <w:r>
              <w:rPr>
                <w:color w:val="000000"/>
                <w:sz w:val="22"/>
                <w:szCs w:val="22"/>
              </w:rPr>
            </w:r>
          </w:p>
        </w:tc>
        <w:tc>
          <w:tcPr>
            <w:shd w:val="clear" w:color="ffffff" w:fill="ffffff"/>
            <w:tcW w:w="2413" w:type="dxa"/>
            <w:vAlign w:val="center"/>
            <w:textDirection w:val="lrTb"/>
            <w:noWrap w:val="false"/>
          </w:tcPr>
          <w:p>
            <w:pPr>
              <w:ind w:firstLine="0"/>
              <w:jc w:val="center"/>
              <w:spacing w:line="240" w:lineRule="auto"/>
              <w:rPr>
                <w:color w:val="000000"/>
                <w:sz w:val="22"/>
                <w:szCs w:val="22"/>
              </w:rPr>
            </w:pPr>
            <w:r>
              <w:rPr>
                <w:color w:val="000000" w:themeColor="text1"/>
                <w:sz w:val="22"/>
                <w:szCs w:val="22"/>
              </w:rPr>
              <w:t xml:space="preserve">Мероприятия</w:t>
            </w:r>
            <w:r>
              <w:rPr>
                <w:color w:val="000000"/>
                <w:sz w:val="22"/>
                <w:szCs w:val="22"/>
              </w:rPr>
            </w:r>
            <w:r>
              <w:rPr>
                <w:color w:val="000000"/>
                <w:sz w:val="22"/>
                <w:szCs w:val="22"/>
              </w:rPr>
            </w:r>
          </w:p>
        </w:tc>
        <w:tc>
          <w:tcPr>
            <w:shd w:val="clear" w:color="ffffff" w:fill="ffffff"/>
            <w:tcW w:w="6379" w:type="dxa"/>
            <w:vAlign w:val="center"/>
            <w:textDirection w:val="lrTb"/>
            <w:noWrap w:val="false"/>
          </w:tcPr>
          <w:p>
            <w:pPr>
              <w:ind w:firstLine="0"/>
              <w:jc w:val="center"/>
              <w:spacing w:line="240" w:lineRule="auto"/>
              <w:tabs>
                <w:tab w:val="left" w:pos="540" w:leader="none"/>
              </w:tabs>
              <w:rPr>
                <w:color w:val="000000"/>
                <w:sz w:val="22"/>
                <w:szCs w:val="22"/>
              </w:rPr>
            </w:pPr>
            <w:r>
              <w:rPr>
                <w:color w:val="000000" w:themeColor="text1"/>
                <w:sz w:val="22"/>
                <w:szCs w:val="22"/>
              </w:rPr>
              <w:t xml:space="preserve">Информация о реализации</w:t>
            </w:r>
            <w:r>
              <w:rPr>
                <w:color w:val="000000"/>
                <w:sz w:val="22"/>
                <w:szCs w:val="22"/>
              </w:rPr>
            </w:r>
            <w:r>
              <w:rPr>
                <w:color w:val="000000"/>
                <w:sz w:val="22"/>
                <w:szCs w:val="22"/>
              </w:rPr>
            </w:r>
          </w:p>
        </w:tc>
      </w:tr>
      <w:tr>
        <w:trPr/>
        <w:tc>
          <w:tcPr>
            <w:shd w:val="clear" w:color="ffffff" w:fill="ffffff"/>
            <w:tcW w:w="672" w:type="dxa"/>
            <w:textDirection w:val="lrTb"/>
            <w:noWrap w:val="false"/>
          </w:tcPr>
          <w:p>
            <w:pPr>
              <w:pStyle w:val="1652"/>
              <w:ind w:left="0" w:firstLine="0"/>
              <w:jc w:val="center"/>
              <w:spacing w:line="240" w:lineRule="auto"/>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W w:w="2413" w:type="dxa"/>
            <w:textDirection w:val="lrTb"/>
            <w:noWrap w:val="false"/>
          </w:tcPr>
          <w:p>
            <w:pPr>
              <w:pStyle w:val="1649"/>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w:t>
            </w:r>
            <w:r>
              <w:rPr>
                <w:rFonts w:ascii="Times New Roman" w:hAnsi="Times New Roman" w:cs="Times New Roman"/>
                <w:color w:val="000000" w:themeColor="text1"/>
                <w:sz w:val="22"/>
                <w:szCs w:val="22"/>
              </w:rPr>
              <w:t xml:space="preserve">исследования оценки эффективности мер противодействия</w:t>
            </w:r>
            <w:r>
              <w:rPr>
                <w:rFonts w:ascii="Times New Roman" w:hAnsi="Times New Roman" w:cs="Times New Roman"/>
                <w:color w:val="000000" w:themeColor="text1"/>
                <w:sz w:val="22"/>
                <w:szCs w:val="22"/>
              </w:rPr>
              <w:t xml:space="preserve"> незаконному распространению и потреблению наркотиков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color w:val="000000" w:themeColor="text1"/>
                <w:sz w:val="22"/>
                <w:szCs w:val="22"/>
              </w:rPr>
              <w:t xml:space="preserve">АУ ХМАО-Югры</w:t>
            </w:r>
            <w:r>
              <w:rPr>
                <w:color w:val="000000" w:themeColor="text1"/>
                <w:sz w:val="22"/>
                <w:szCs w:val="22"/>
              </w:rPr>
              <w:t xml:space="preserve">  «Экспертно-координационный центр Правительства Югры «Открытый регион» в ноябре 2024 года провед</w:t>
            </w:r>
            <w:r>
              <w:rPr>
                <w:color w:val="000000" w:themeColor="text1"/>
                <w:sz w:val="22"/>
                <w:szCs w:val="22"/>
              </w:rPr>
              <w:t xml:space="preserve">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2024 года.</w:t>
            </w:r>
            <w:r>
              <w:rPr>
                <w:sz w:val="22"/>
                <w:szCs w:val="22"/>
              </w:rPr>
            </w:r>
            <w:r>
              <w:rPr>
                <w:sz w:val="22"/>
                <w:szCs w:val="22"/>
              </w:rPr>
            </w:r>
          </w:p>
        </w:tc>
      </w:tr>
      <w:tr>
        <w:trPr/>
        <w:tc>
          <w:tcPr>
            <w:shd w:val="clear" w:color="ffffff" w:fill="ffffff"/>
            <w:tcW w:w="672" w:type="dxa"/>
            <w:textDirection w:val="lrTb"/>
            <w:noWrap w:val="false"/>
          </w:tcPr>
          <w:p>
            <w:pPr>
              <w:pStyle w:val="1652"/>
              <w:ind w:left="0" w:firstLine="0"/>
              <w:jc w:val="center"/>
              <w:spacing w:line="240" w:lineRule="auto"/>
              <w:rPr>
                <w:sz w:val="22"/>
                <w:szCs w:val="22"/>
              </w:rPr>
            </w:pPr>
            <w:r>
              <w:rPr>
                <w:sz w:val="22"/>
                <w:szCs w:val="22"/>
              </w:rPr>
              <w:t xml:space="preserve">2</w:t>
            </w:r>
            <w:r>
              <w:rPr>
                <w:sz w:val="22"/>
                <w:szCs w:val="22"/>
              </w:rPr>
            </w:r>
            <w:r>
              <w:rPr>
                <w:sz w:val="22"/>
                <w:szCs w:val="22"/>
              </w:rPr>
            </w:r>
          </w:p>
        </w:tc>
        <w:tc>
          <w:tcPr>
            <w:shd w:val="clear" w:color="ffffff" w:fill="ffffff"/>
            <w:tcW w:w="2413"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Проведение информационной антинаркотической политики</w:t>
            </w:r>
            <w:r>
              <w:rPr>
                <w:rFonts w:ascii="Times New Roman" w:hAnsi="Times New Roman" w:cs="Times New Roman"/>
                <w:sz w:val="22"/>
                <w:szCs w:val="22"/>
              </w:rPr>
            </w:r>
            <w:r>
              <w:rPr>
                <w:rFonts w:ascii="Times New Roman" w:hAnsi="Times New Roman" w:cs="Times New Roman"/>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всех видов зависимост</w:t>
            </w:r>
            <w:r>
              <w:rPr>
                <w:sz w:val="22"/>
                <w:szCs w:val="22"/>
              </w:rPr>
              <w:t xml:space="preserve">ей, в том числе наркотической, </w:t>
            </w:r>
            <w:r>
              <w:rPr>
                <w:sz w:val="22"/>
                <w:szCs w:val="22"/>
              </w:rPr>
              <w:t xml:space="preserve">и пропаг</w:t>
            </w:r>
            <w:r>
              <w:rPr>
                <w:sz w:val="22"/>
                <w:szCs w:val="22"/>
              </w:rPr>
              <w:t xml:space="preserve">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пабликах в социальных сетях «ВКонтакте», «Одноклассники».  </w:t>
            </w:r>
            <w:r>
              <w:rPr>
                <w:sz w:val="22"/>
                <w:szCs w:val="22"/>
              </w:rPr>
            </w:r>
            <w:r>
              <w:rPr>
                <w:sz w:val="22"/>
                <w:szCs w:val="22"/>
              </w:rPr>
            </w:r>
          </w:p>
        </w:tc>
      </w:tr>
      <w:tr>
        <w:trPr/>
        <w:tc>
          <w:tcPr>
            <w:shd w:val="clear" w:color="ffffff" w:fill="ffffff"/>
            <w:tcW w:w="672" w:type="dxa"/>
            <w:textDirection w:val="lrTb"/>
            <w:noWrap w:val="false"/>
          </w:tcPr>
          <w:p>
            <w:pPr>
              <w:pStyle w:val="1652"/>
              <w:ind w:left="0" w:firstLine="0"/>
              <w:jc w:val="center"/>
              <w:spacing w:line="240" w:lineRule="auto"/>
              <w:rPr>
                <w:sz w:val="22"/>
                <w:szCs w:val="22"/>
              </w:rPr>
              <w:outlineLvl w:val="1"/>
            </w:pPr>
            <w:r>
              <w:rPr>
                <w:sz w:val="22"/>
                <w:szCs w:val="22"/>
              </w:rPr>
              <w:t xml:space="preserve">3</w:t>
            </w:r>
            <w:r>
              <w:rPr>
                <w:sz w:val="22"/>
                <w:szCs w:val="22"/>
              </w:rPr>
            </w:r>
            <w:r>
              <w:rPr>
                <w:sz w:val="22"/>
                <w:szCs w:val="22"/>
              </w:rPr>
            </w:r>
          </w:p>
        </w:tc>
        <w:tc>
          <w:tcPr>
            <w:shd w:val="clear" w:color="ffffff" w:fill="ffffff"/>
            <w:tcW w:w="2413"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rPr>
                <w:rFonts w:ascii="Times New Roman" w:hAnsi="Times New Roman" w:cs="Times New Roman"/>
                <w:sz w:val="22"/>
                <w:szCs w:val="22"/>
              </w:rPr>
            </w:r>
            <w:r>
              <w:rPr>
                <w:rFonts w:ascii="Times New Roman" w:hAnsi="Times New Roman" w:cs="Times New Roman"/>
                <w:sz w:val="22"/>
                <w:szCs w:val="22"/>
              </w:rPr>
            </w:r>
          </w:p>
        </w:tc>
        <w:tc>
          <w:tcPr>
            <w:shd w:val="clear" w:color="ffffff" w:fill="ffffff"/>
            <w:tcW w:w="6379" w:type="dxa"/>
            <w:textDirection w:val="lrTb"/>
            <w:noWrap w:val="false"/>
          </w:tcPr>
          <w:p>
            <w:pPr>
              <w:ind w:firstLine="0"/>
              <w:spacing w:line="240" w:lineRule="auto"/>
              <w:rPr>
                <w:rFonts w:eastAsia="Calibri"/>
                <w:color w:val="000000" w:themeColor="text1"/>
                <w:sz w:val="22"/>
                <w:szCs w:val="22"/>
              </w:rPr>
              <w:outlineLvl w:val="1"/>
            </w:pPr>
            <w:r>
              <w:rPr>
                <w:rFonts w:eastAsia="Calibri"/>
                <w:color w:val="000000" w:themeColor="text1"/>
                <w:sz w:val="22"/>
                <w:szCs w:val="22"/>
              </w:rPr>
              <w:t xml:space="preserve">Депполитики Югры совместно с окружной телерадиокомпанией «</w:t>
            </w:r>
            <w:r>
              <w:rPr>
                <w:rFonts w:eastAsia="Calibri"/>
                <w:color w:val="000000" w:themeColor="text1"/>
                <w:sz w:val="22"/>
                <w:szCs w:val="22"/>
              </w:rPr>
              <w:t xml:space="preserve">Югра» подготовлены и размещены в эфире телеканала «Югра» ролики с рабочим названием «Дневник наркомана» (хронометраж – 1 мин.) и «Реабилитация наркоманов» (хронометраж – 3 мин.), обеспечено таргетированное продвижение социальных роликов в сети «Вконтакте» </w:t>
            </w:r>
            <w:r>
              <w:rPr>
                <w:rFonts w:eastAsia="Calibri"/>
                <w:color w:val="000000" w:themeColor="text1"/>
                <w:sz w:val="22"/>
                <w:szCs w:val="22"/>
              </w:rPr>
              <w:br/>
              <w:t xml:space="preserve">с охватом населения 200 тысяч человек (</w:t>
            </w:r>
            <w:hyperlink r:id="rId38" w:tooltip="https://vk.com/wall-65718690_8026" w:history="1">
              <w:r>
                <w:rPr>
                  <w:rStyle w:val="1689"/>
                  <w:rFonts w:eastAsia="Calibri"/>
                  <w:color w:val="000000" w:themeColor="text1"/>
                  <w:sz w:val="22"/>
                  <w:szCs w:val="22"/>
                </w:rPr>
                <w:t xml:space="preserve">https://vk.com/wall-65718690_8026</w:t>
              </w:r>
            </w:hyperlink>
            <w:r>
              <w:rPr>
                <w:rFonts w:eastAsia="Calibri"/>
                <w:color w:val="000000" w:themeColor="text1"/>
                <w:sz w:val="22"/>
                <w:szCs w:val="22"/>
              </w:rPr>
              <w:t xml:space="preserve"> «Реабилитация наркоманов», </w:t>
            </w:r>
            <w:hyperlink r:id="rId39" w:tooltip="https://vk.com/wall-192914079_844" w:history="1">
              <w:r>
                <w:rPr>
                  <w:rStyle w:val="1689"/>
                  <w:rFonts w:eastAsia="Calibri"/>
                  <w:color w:val="000000" w:themeColor="text1"/>
                  <w:sz w:val="22"/>
                  <w:szCs w:val="22"/>
                </w:rPr>
                <w:t xml:space="preserve">https://vk.com/wall-192914079_844</w:t>
              </w:r>
            </w:hyperlink>
            <w:r>
              <w:rPr>
                <w:rFonts w:eastAsia="Calibri"/>
                <w:color w:val="000000" w:themeColor="text1"/>
                <w:sz w:val="22"/>
                <w:szCs w:val="22"/>
              </w:rPr>
              <w:t xml:space="preserve">  «Дневник наркомана).</w:t>
            </w:r>
            <w:r>
              <w:rPr>
                <w:rFonts w:eastAsia="Calibri"/>
                <w:color w:val="000000" w:themeColor="text1"/>
                <w:sz w:val="22"/>
                <w:szCs w:val="22"/>
              </w:rPr>
            </w:r>
            <w:r>
              <w:rPr>
                <w:rFonts w:eastAsia="Calibri"/>
                <w:color w:val="000000" w:themeColor="text1"/>
                <w:sz w:val="22"/>
                <w:szCs w:val="22"/>
              </w:rPr>
            </w:r>
          </w:p>
          <w:p>
            <w:pPr>
              <w:ind w:firstLine="0"/>
              <w:spacing w:line="240" w:lineRule="auto"/>
              <w:rPr>
                <w:sz w:val="22"/>
                <w:szCs w:val="22"/>
              </w:rPr>
            </w:pPr>
            <w:r>
              <w:rPr>
                <w:rFonts w:eastAsia="Calibri"/>
                <w:color w:val="000000" w:themeColor="text1"/>
                <w:sz w:val="22"/>
                <w:szCs w:val="22"/>
              </w:rPr>
              <w:t xml:space="preserve">Депполитики Югры обеспечивает доступ граждан </w:t>
            </w:r>
            <w:r>
              <w:rPr>
                <w:rFonts w:eastAsia="Calibri"/>
                <w:color w:val="000000" w:themeColor="text1"/>
                <w:sz w:val="22"/>
                <w:szCs w:val="22"/>
              </w:rPr>
              <w:br/>
              <w:t xml:space="preserve">к социально значимой информации, в том числе антинаркотической направленности.</w:t>
            </w:r>
            <w:r>
              <w:rPr>
                <w:sz w:val="22"/>
                <w:szCs w:val="22"/>
              </w:rPr>
            </w:r>
            <w:r>
              <w:rPr>
                <w:sz w:val="22"/>
                <w:szCs w:val="22"/>
              </w:rPr>
            </w:r>
          </w:p>
          <w:p>
            <w:pPr>
              <w:ind w:firstLine="0"/>
              <w:spacing w:line="240" w:lineRule="auto"/>
              <w:rPr>
                <w:sz w:val="22"/>
                <w:szCs w:val="22"/>
              </w:rPr>
            </w:pPr>
            <w:r>
              <w:rPr>
                <w:rFonts w:eastAsia="Calibri"/>
                <w:color w:val="000000" w:themeColor="text1"/>
                <w:sz w:val="22"/>
                <w:szCs w:val="22"/>
              </w:rPr>
              <w:t xml:space="preserve">По</w:t>
            </w:r>
            <w:r>
              <w:rPr>
                <w:rFonts w:eastAsia="Calibri"/>
                <w:color w:val="000000" w:themeColor="text1"/>
                <w:sz w:val="22"/>
                <w:szCs w:val="22"/>
              </w:rPr>
              <w:t xml:space="preserve"> данным информационно-аналитической системы «Медиалогия» в СМИ автономного округа в 2024 году размещено 3588 сообщений, касающихся мероприятий антинаркотической направленности, в том числе 133 – в печатных СМИ, 70 – на телевидении, 37 – на радио, 3348 – в </w:t>
            </w:r>
            <w:r>
              <w:rPr>
                <w:rFonts w:eastAsia="Calibri"/>
                <w:color w:val="000000" w:themeColor="text1"/>
                <w:sz w:val="22"/>
                <w:szCs w:val="22"/>
              </w:rPr>
              <w:t xml:space="preserve">интернет-СМИ</w:t>
            </w:r>
            <w:r>
              <w:rPr>
                <w:rFonts w:eastAsia="Calibri"/>
                <w:color w:val="000000" w:themeColor="text1"/>
                <w:sz w:val="22"/>
                <w:szCs w:val="22"/>
              </w:rPr>
              <w:t xml:space="preserve"> и на сайтах информагентств.</w:t>
            </w:r>
            <w:r>
              <w:rPr>
                <w:sz w:val="22"/>
                <w:szCs w:val="22"/>
              </w:rPr>
            </w:r>
            <w:r>
              <w:rPr>
                <w:sz w:val="22"/>
                <w:szCs w:val="22"/>
              </w:rPr>
            </w:r>
          </w:p>
          <w:p>
            <w:pPr>
              <w:ind w:firstLine="0"/>
              <w:spacing w:line="240" w:lineRule="auto"/>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образований, в региональных и городских пабликах в социальных сетях «ВКонтакте», «Одноклассники», а также в официальных каналах «Югра. Официально» в мессенджерах «Вайбер» и «Телеграм».</w:t>
            </w:r>
            <w:r>
              <w:rPr>
                <w:sz w:val="22"/>
                <w:szCs w:val="22"/>
              </w:rPr>
            </w:r>
            <w:r>
              <w:rPr>
                <w:sz w:val="22"/>
                <w:szCs w:val="22"/>
              </w:rPr>
            </w:r>
          </w:p>
          <w:p>
            <w:pPr>
              <w:ind w:firstLine="0"/>
              <w:spacing w:line="240" w:lineRule="auto"/>
              <w:rPr>
                <w:rFonts w:eastAsia="Calibri"/>
                <w:color w:val="000000" w:themeColor="text1"/>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146; охват аудитории – свыше 900 тысяч человек. Записи набрали 50 755 просмотров. Социальная реакция (сумма репостов, лайков, комментариев) – 258.</w:t>
            </w:r>
            <w:r>
              <w:rPr>
                <w:rFonts w:eastAsia="Calibri"/>
                <w:color w:val="000000" w:themeColor="text1"/>
                <w:sz w:val="22"/>
                <w:szCs w:val="22"/>
              </w:rPr>
            </w:r>
            <w:r>
              <w:rPr>
                <w:rFonts w:eastAsia="Calibri"/>
                <w:color w:val="000000" w:themeColor="text1"/>
                <w:sz w:val="22"/>
                <w:szCs w:val="22"/>
              </w:rPr>
            </w:r>
          </w:p>
        </w:tc>
      </w:tr>
      <w:tr>
        <w:trPr/>
        <w:tc>
          <w:tcPr>
            <w:shd w:val="clear" w:color="ffffff" w:fill="ffffff"/>
            <w:tcW w:w="672" w:type="dxa"/>
            <w:textDirection w:val="lrTb"/>
            <w:noWrap w:val="false"/>
          </w:tcPr>
          <w:p>
            <w:pPr>
              <w:pStyle w:val="1652"/>
              <w:ind w:left="0" w:firstLine="0"/>
              <w:jc w:val="center"/>
              <w:spacing w:line="240" w:lineRule="auto"/>
              <w:rPr>
                <w:color w:val="000000"/>
                <w:sz w:val="22"/>
                <w:szCs w:val="22"/>
              </w:rPr>
              <w:outlineLvl w:val="1"/>
            </w:pPr>
            <w:r>
              <w:rPr>
                <w:color w:val="000000"/>
                <w:sz w:val="22"/>
                <w:szCs w:val="22"/>
              </w:rPr>
              <w:t xml:space="preserve">4</w:t>
            </w:r>
            <w:r>
              <w:rPr>
                <w:color w:val="000000"/>
                <w:sz w:val="22"/>
                <w:szCs w:val="22"/>
              </w:rPr>
            </w:r>
            <w:r>
              <w:rPr>
                <w:color w:val="000000"/>
                <w:sz w:val="22"/>
                <w:szCs w:val="22"/>
              </w:rPr>
            </w:r>
          </w:p>
        </w:tc>
        <w:tc>
          <w:tcPr>
            <w:shd w:val="clear" w:color="ffffff" w:fill="ffffff"/>
            <w:tcW w:w="2413" w:type="dxa"/>
            <w:textDirection w:val="lrTb"/>
            <w:noWrap w:val="false"/>
          </w:tcPr>
          <w:p>
            <w:pPr>
              <w:pStyle w:val="1649"/>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конкурса профессионального журналистского мастерства «Журналист года Югры»</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color w:val="000000" w:themeColor="text1"/>
                <w:sz w:val="22"/>
                <w:szCs w:val="22"/>
              </w:rPr>
              <w:t xml:space="preserve">В соответствии с положением о ежегодном конкурсе «Журналист года», утвержденном приказом Департамента внутренней политики автономного округа от 2 ноября 2024 года № 02-ОД-125, заявки принимались по 23 номинациям, в том числе </w:t>
            </w:r>
            <w:r>
              <w:rPr>
                <w:rFonts w:eastAsia="Calibri"/>
                <w:color w:val="000000" w:themeColor="text1"/>
                <w:sz w:val="22"/>
                <w:szCs w:val="22"/>
              </w:rPr>
              <w:t xml:space="preserve">«Юный журналист года» – за лучшие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w:t>
            </w:r>
            <w:r>
              <w:rPr>
                <w:rFonts w:eastAsia="Calibri"/>
                <w:color w:val="000000" w:themeColor="text1"/>
                <w:sz w:val="22"/>
                <w:szCs w:val="22"/>
              </w:rPr>
              <w:t xml:space="preserve">распространению идеологии терроризма, подготовленные учащимися 5-11 классов общеобразовательных организаций.</w:t>
            </w:r>
            <w:r>
              <w:rPr>
                <w:sz w:val="22"/>
                <w:szCs w:val="22"/>
              </w:rPr>
            </w:r>
            <w:r>
              <w:rPr>
                <w:sz w:val="22"/>
                <w:szCs w:val="22"/>
              </w:rPr>
            </w:r>
          </w:p>
          <w:p>
            <w:pPr>
              <w:ind w:firstLine="0"/>
              <w:spacing w:line="240" w:lineRule="auto"/>
              <w:rPr>
                <w:color w:val="000000" w:themeColor="text1"/>
                <w:sz w:val="22"/>
                <w:szCs w:val="22"/>
              </w:rPr>
              <w:outlineLvl w:val="1"/>
            </w:pPr>
            <w:r>
              <w:rPr>
                <w:color w:val="000000" w:themeColor="text1"/>
                <w:sz w:val="22"/>
                <w:szCs w:val="22"/>
              </w:rPr>
              <w:t xml:space="preserve">Всего в данной номинации поступило 20 заявок. Работы антинаркотической направленности в числе победителей отсутствуют. </w:t>
            </w:r>
            <w:r>
              <w:rPr>
                <w:color w:val="000000" w:themeColor="text1"/>
                <w:sz w:val="22"/>
                <w:szCs w:val="22"/>
              </w:rPr>
            </w:r>
            <w:r>
              <w:rPr>
                <w:color w:val="000000" w:themeColor="text1"/>
                <w:sz w:val="22"/>
                <w:szCs w:val="22"/>
              </w:rPr>
            </w:r>
          </w:p>
        </w:tc>
      </w:tr>
    </w:tbl>
    <w:p>
      <w:pPr>
        <w:pStyle w:val="1649"/>
        <w:rPr>
          <w:sz w:val="28"/>
          <w:szCs w:val="28"/>
        </w:rPr>
      </w:pPr>
      <w:r>
        <w:rPr>
          <w:sz w:val="28"/>
          <w:szCs w:val="28"/>
        </w:rPr>
      </w:r>
      <w:r>
        <w:rPr>
          <w:sz w:val="28"/>
          <w:szCs w:val="28"/>
        </w:rPr>
      </w:r>
      <w:r>
        <w:rPr>
          <w:sz w:val="28"/>
          <w:szCs w:val="28"/>
        </w:rPr>
      </w:r>
    </w:p>
    <w:p>
      <w:pPr>
        <w:ind w:firstLine="709"/>
        <w:spacing w:line="276" w:lineRule="auto"/>
        <w:widowControl w:val="off"/>
        <w:rPr>
          <w:b/>
          <w:i/>
        </w:rPr>
      </w:pPr>
      <w:r>
        <w:rPr>
          <w:b/>
          <w:i/>
        </w:rPr>
        <w:t xml:space="preserve">2. «Профилактика и раннее выявление неза</w:t>
      </w:r>
      <w:r>
        <w:rPr>
          <w:b/>
          <w:i/>
        </w:rPr>
        <w:t xml:space="preserve">конного потребления наркотиков»</w:t>
      </w:r>
      <w:r>
        <w:rPr>
          <w:b/>
          <w:i/>
        </w:rPr>
      </w:r>
      <w:r>
        <w:rPr>
          <w:b/>
          <w:i/>
        </w:rPr>
      </w:r>
    </w:p>
    <w:p>
      <w:pPr>
        <w:ind w:firstLine="709"/>
        <w:spacing w:line="276" w:lineRule="auto"/>
        <w:widowControl w:val="off"/>
      </w:pPr>
      <w:r>
        <w:t xml:space="preserve">Задачи, решаемые в этом приоритетном направлении:</w:t>
      </w:r>
      <w:r/>
    </w:p>
    <w:p>
      <w:pPr>
        <w:ind w:left="0" w:right="0" w:firstLine="709"/>
        <w:spacing w:line="276" w:lineRule="auto"/>
        <w:widowControl w:val="off"/>
      </w:pPr>
      <w:r>
        <w:t xml:space="preserve">формирование на общих методологических основаниях системы комплексной антинаркотической профилактической деятельности;</w:t>
      </w:r>
      <w:r/>
    </w:p>
    <w:p>
      <w:pPr>
        <w:ind w:left="0" w:right="0" w:firstLine="709"/>
        <w:spacing w:line="276" w:lineRule="auto"/>
        <w:widowControl w:val="off"/>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r/>
    </w:p>
    <w:p>
      <w:pPr>
        <w:pStyle w:val="1652"/>
        <w:ind w:left="0" w:right="0" w:firstLine="709"/>
        <w:spacing w:line="276" w:lineRule="auto"/>
        <w:widowControl w:val="off"/>
      </w:pPr>
      <w:r>
        <w:t xml:space="preserve">Меры, обеспечивающие решение указанных задач:</w:t>
      </w:r>
      <w:r/>
    </w:p>
    <w:p>
      <w:pPr>
        <w:ind w:left="0" w:right="0" w:firstLine="709"/>
        <w:spacing w:line="276" w:lineRule="auto"/>
        <w:widowControl w:val="off"/>
      </w:pPr>
      <w:r>
        <w:t xml:space="preserve">развитие инфраструктуры, форм и методов первичной профилактики незаконного потребления наркотиков; </w:t>
      </w:r>
      <w:r/>
    </w:p>
    <w:p>
      <w:pPr>
        <w:ind w:left="0" w:right="0" w:firstLine="709"/>
        <w:spacing w:line="276" w:lineRule="auto"/>
        <w:widowControl w:val="off"/>
      </w:pPr>
      <w:r>
        <w:t xml:space="preserve">совершенствование педагогических программ и методик профилактики противоправного п</w:t>
      </w:r>
      <w:r>
        <w:t xml:space="preserve">оведения несовершеннолетних, их </w:t>
      </w:r>
      <w:r>
        <w:t xml:space="preserve">включение в электронные образовательные ресурсы; </w:t>
      </w:r>
      <w:r/>
    </w:p>
    <w:p>
      <w:pPr>
        <w:ind w:left="0" w:right="0" w:firstLine="709"/>
        <w:spacing w:line="276" w:lineRule="auto"/>
        <w:widowControl w:val="off"/>
      </w:pPr>
      <w:r>
        <w:t xml:space="preserve">расширение практики использования универсальных педагогических методик (тренинг, проектная деятельность, другие методики);</w:t>
      </w:r>
      <w:r/>
    </w:p>
    <w:p>
      <w:pPr>
        <w:ind w:left="0" w:right="0" w:firstLine="709"/>
        <w:spacing w:line="276" w:lineRule="auto"/>
        <w:widowControl w:val="off"/>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w:t>
      </w:r>
      <w:r>
        <w:t xml:space="preserve">авственного воспитания граждан,</w:t>
      </w:r>
      <w:r>
        <w:t xml:space="preserve"> </w:t>
      </w:r>
      <w:r>
        <w:t xml:space="preserve">в особенности детей и молодежи;</w:t>
      </w:r>
      <w:r/>
    </w:p>
    <w:p>
      <w:pPr>
        <w:ind w:left="0" w:right="0" w:firstLine="709"/>
        <w:spacing w:line="276" w:lineRule="auto"/>
        <w:widowControl w:val="off"/>
      </w:pPr>
      <w:r>
        <w:t xml:space="preserve">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r/>
    </w:p>
    <w:p>
      <w:pPr>
        <w:ind w:left="0" w:right="0" w:firstLine="709"/>
        <w:spacing w:line="276" w:lineRule="auto"/>
        <w:widowControl w:val="off"/>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r/>
    </w:p>
    <w:p>
      <w:pPr>
        <w:ind w:left="0" w:right="0" w:firstLine="709"/>
        <w:spacing w:line="276" w:lineRule="auto"/>
        <w:widowControl w:val="off"/>
      </w:pPr>
      <w:r>
        <w:t xml:space="preserve">активное привлечение добровольцев (волонтеров) к участию </w:t>
      </w:r>
      <w:r>
        <w:br/>
        <w:t xml:space="preserve">в реализации антинаркотической политики;</w:t>
      </w:r>
      <w:r/>
    </w:p>
    <w:p>
      <w:pPr>
        <w:ind w:left="0" w:right="0" w:firstLine="709"/>
        <w:spacing w:line="276" w:lineRule="auto"/>
        <w:widowControl w:val="off"/>
      </w:pPr>
      <w:r>
        <w:t xml:space="preserve">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w:t>
      </w:r>
      <w:r>
        <w:t xml:space="preserve">выявлению незаконного потребления наркотиков;</w:t>
      </w:r>
      <w:r/>
    </w:p>
    <w:p>
      <w:pPr>
        <w:ind w:left="0" w:right="0" w:firstLine="709"/>
        <w:spacing w:line="276" w:lineRule="auto"/>
        <w:widowControl w:val="off"/>
      </w:pPr>
      <w:r>
        <w:t xml:space="preserve">организация сотрудничества со средствами массовой информации по вопросам ант</w:t>
      </w:r>
      <w:r>
        <w:t xml:space="preserve">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r/>
    </w:p>
    <w:p>
      <w:pPr>
        <w:ind w:left="0" w:right="0" w:firstLine="709"/>
        <w:spacing w:line="276" w:lineRule="auto"/>
        <w:widowControl w:val="off"/>
      </w:pPr>
      <w:r>
        <w:t xml:space="preserve">осуществление мониторинга и анализа эффективности</w:t>
      </w:r>
      <w:r>
        <w:t xml:space="preserve"> </w:t>
      </w:r>
      <w:r>
        <w:t xml:space="preserve">информационно-просветительских программ, направленных на содействие реализации антинаркотической политики.</w:t>
      </w:r>
      <w:r/>
    </w:p>
    <w:p>
      <w:pPr>
        <w:jc w:val="center"/>
        <w:spacing w:line="276" w:lineRule="auto"/>
        <w:widowControl w:val="off"/>
      </w:pPr>
      <w:r>
        <w:t xml:space="preserve">Информация о реализации указанного приоритетного направления:</w:t>
      </w:r>
      <w:r/>
    </w:p>
    <w:p>
      <w:pPr>
        <w:ind w:firstLine="0"/>
        <w:spacing w:line="276" w:lineRule="auto"/>
        <w:tabs>
          <w:tab w:val="left" w:pos="540" w:leader="none"/>
        </w:tabs>
      </w:pPr>
      <w:r/>
      <w:r/>
    </w:p>
    <w:tbl>
      <w:tblPr>
        <w:tblStyle w:val="1651"/>
        <w:tblW w:w="0" w:type="auto"/>
        <w:tblLook w:val="04A0" w:firstRow="1" w:lastRow="0" w:firstColumn="1" w:lastColumn="0" w:noHBand="0" w:noVBand="1"/>
      </w:tblPr>
      <w:tblGrid>
        <w:gridCol w:w="581"/>
        <w:gridCol w:w="2788"/>
        <w:gridCol w:w="6201"/>
      </w:tblGrid>
      <w:tr>
        <w:trPr>
          <w:tblHeader/>
        </w:trPr>
        <w:tc>
          <w:tcPr>
            <w:shd w:val="clear" w:color="auto" w:fill="auto"/>
            <w:tcW w:w="581" w:type="dxa"/>
            <w:vAlign w:val="center"/>
            <w:textDirection w:val="lrTb"/>
            <w:noWrap w:val="false"/>
          </w:tcPr>
          <w:p>
            <w:pPr>
              <w:ind w:firstLine="0"/>
              <w:jc w:val="center"/>
              <w:spacing w:line="240" w:lineRule="auto"/>
              <w:rPr>
                <w:sz w:val="22"/>
                <w:szCs w:val="22"/>
              </w:rPr>
              <w:outlineLvl w:val="1"/>
            </w:pPr>
            <w:r>
              <w:rPr>
                <w:sz w:val="22"/>
                <w:szCs w:val="22"/>
              </w:rPr>
              <w:t xml:space="preserve">№ </w:t>
            </w:r>
            <w:r>
              <w:rPr>
                <w:sz w:val="22"/>
                <w:szCs w:val="22"/>
              </w:rPr>
              <w:t xml:space="preserve">п</w:t>
            </w:r>
            <w:r>
              <w:rPr>
                <w:sz w:val="22"/>
                <w:szCs w:val="22"/>
              </w:rPr>
              <w:t xml:space="preserve">/п</w:t>
            </w:r>
            <w:r>
              <w:rPr>
                <w:sz w:val="22"/>
                <w:szCs w:val="22"/>
              </w:rPr>
            </w:r>
            <w:r>
              <w:rPr>
                <w:sz w:val="22"/>
                <w:szCs w:val="22"/>
              </w:rPr>
            </w:r>
          </w:p>
        </w:tc>
        <w:tc>
          <w:tcPr>
            <w:shd w:val="clear" w:color="auto" w:fill="auto"/>
            <w:tcW w:w="2788" w:type="dxa"/>
            <w:vAlign w:val="center"/>
            <w:textDirection w:val="lrTb"/>
            <w:noWrap w:val="false"/>
          </w:tcPr>
          <w:p>
            <w:pPr>
              <w:ind w:firstLine="0"/>
              <w:jc w:val="center"/>
              <w:spacing w:line="240" w:lineRule="auto"/>
              <w:rPr>
                <w:sz w:val="22"/>
                <w:szCs w:val="22"/>
              </w:rPr>
            </w:pPr>
            <w:r>
              <w:rPr>
                <w:sz w:val="22"/>
                <w:szCs w:val="22"/>
              </w:rPr>
              <w:t xml:space="preserve">Мероприятия</w:t>
            </w:r>
            <w:r>
              <w:rPr>
                <w:sz w:val="22"/>
                <w:szCs w:val="22"/>
              </w:rPr>
            </w:r>
            <w:r>
              <w:rPr>
                <w:sz w:val="22"/>
                <w:szCs w:val="22"/>
              </w:rPr>
            </w:r>
          </w:p>
        </w:tc>
        <w:tc>
          <w:tcPr>
            <w:shd w:val="clear" w:color="auto" w:fill="auto"/>
            <w:tcW w:w="6201"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1</w:t>
            </w:r>
            <w:r>
              <w:rPr>
                <w:sz w:val="22"/>
                <w:szCs w:val="22"/>
              </w:rPr>
            </w:r>
            <w:r>
              <w:rPr>
                <w:sz w:val="22"/>
                <w:szCs w:val="22"/>
              </w:rPr>
            </w:r>
          </w:p>
        </w:tc>
        <w:tc>
          <w:tcPr>
            <w:shd w:val="clear" w:color="auto" w:fill="auto"/>
            <w:tcW w:w="2788"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outlineLvl w:val="1"/>
            </w:pPr>
            <w:r>
              <w:rPr>
                <w:bCs/>
                <w:sz w:val="22"/>
                <w:szCs w:val="22"/>
              </w:rPr>
              <w:t xml:space="preserve">По государственной программе Ханты-Мансийского автономного округа – Югры «Безопасность жизнедеятельности и профилактика правонарушений»</w:t>
            </w:r>
            <w:r>
              <w:rPr>
                <w:sz w:val="22"/>
                <w:szCs w:val="22"/>
              </w:rPr>
              <w:t xml:space="preserve"> в 2024 году в рамках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w:t>
            </w:r>
            <w:r>
              <w:rPr>
                <w:sz w:val="22"/>
                <w:szCs w:val="22"/>
              </w:rPr>
              <w:t xml:space="preserve">актика правонарушений и обеспечение защиты прав потребителей» реализуются мероприятия по противодействию злоупотреблению наркотиками и их незаконному обороту, осуществлено обновление методического обеспечения для анализа биологических объектов, включающего</w:t>
            </w:r>
            <w:r>
              <w:rPr>
                <w:sz w:val="22"/>
                <w:szCs w:val="22"/>
              </w:rPr>
              <w:t xml:space="preserve"> библиотеки масс-спектров </w:t>
            </w:r>
            <w:r>
              <w:rPr>
                <w:sz w:val="22"/>
                <w:szCs w:val="22"/>
              </w:rPr>
              <w:t xml:space="preserve">с</w:t>
            </w:r>
            <w:r>
              <w:rPr>
                <w:sz w:val="22"/>
                <w:szCs w:val="22"/>
              </w:rPr>
              <w:t xml:space="preserve"> временами хроматографиче</w:t>
            </w:r>
            <w:r>
              <w:rPr>
                <w:sz w:val="22"/>
                <w:szCs w:val="22"/>
              </w:rPr>
              <w:t xml:space="preserve">ского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w:t>
            </w:r>
            <w:r>
              <w:rPr>
                <w:sz w:val="22"/>
                <w:szCs w:val="22"/>
              </w:rPr>
              <w:t xml:space="preserve">приобретены: медицинское оборудование (Анализатор</w:t>
            </w:r>
            <w:r>
              <w:rPr>
                <w:sz w:val="22"/>
                <w:szCs w:val="22"/>
              </w:rPr>
              <w:t xml:space="preserve"> для фотофиксации и анализа иммунохроматографических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w:t>
            </w:r>
            <w:r>
              <w:rPr>
                <w:sz w:val="22"/>
                <w:szCs w:val="22"/>
              </w:rPr>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2</w:t>
            </w:r>
            <w:r>
              <w:rPr>
                <w:sz w:val="22"/>
                <w:szCs w:val="22"/>
              </w:rPr>
            </w:r>
            <w:r>
              <w:rPr>
                <w:sz w:val="22"/>
                <w:szCs w:val="22"/>
              </w:rPr>
            </w:r>
          </w:p>
        </w:tc>
        <w:tc>
          <w:tcPr>
            <w:shd w:val="clear" w:color="auto" w:fill="auto"/>
            <w:tcW w:w="2788"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outlineLvl w:val="1"/>
            </w:pPr>
            <w:r>
              <w:rPr>
                <w:sz w:val="22"/>
                <w:szCs w:val="22"/>
              </w:rPr>
              <w:t xml:space="preserve">По государственной программе ХМАО-Югры «Развитие образования» в 2024 году в рамках комплекса процессных мероприятий 3.4. "Содействие развитию дополнительного образовани</w:t>
            </w:r>
            <w:r>
              <w:rPr>
                <w:sz w:val="22"/>
                <w:szCs w:val="22"/>
              </w:rPr>
              <w:t xml:space="preserve">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MiniCap в количестве 2 набора для </w:t>
            </w:r>
            <w:r>
              <w:rPr>
                <w:sz w:val="22"/>
                <w:szCs w:val="22"/>
              </w:rPr>
              <w:t xml:space="preserve">определения состояний употребления алкоголя, реагенты медицинские диагностические погружного типа для выявления наркотических веществ в количестве 1452 шт., реагенты медицинские диагностические на определение антигенов к ВИЧ/гепатитам</w:t>
            </w:r>
            <w:r>
              <w:rPr>
                <w:sz w:val="22"/>
                <w:szCs w:val="22"/>
              </w:rPr>
              <w:t xml:space="preserve"> В</w:t>
            </w:r>
            <w:r>
              <w:rPr>
                <w:sz w:val="22"/>
                <w:szCs w:val="22"/>
              </w:rPr>
              <w:t xml:space="preserve"> и С в количестве 32 набора для раннего выявления незаконного потребления наркотиков и иных токсических психоактивных веществ, а также профилактики гемоконтактных инфекций, которые переданы в Военный комиссариат ХМАО-Югры.</w:t>
            </w:r>
            <w:r>
              <w:rPr>
                <w:sz w:val="22"/>
                <w:szCs w:val="22"/>
              </w:rPr>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3</w:t>
            </w:r>
            <w:r>
              <w:rPr>
                <w:sz w:val="22"/>
                <w:szCs w:val="22"/>
              </w:rPr>
            </w:r>
            <w:r>
              <w:rPr>
                <w:sz w:val="22"/>
                <w:szCs w:val="22"/>
              </w:rPr>
            </w:r>
          </w:p>
        </w:tc>
        <w:tc>
          <w:tcPr>
            <w:shd w:val="clear" w:color="auto" w:fill="auto"/>
            <w:tcW w:w="2788"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w:t>
            </w:r>
            <w:r>
              <w:rPr>
                <w:rFonts w:ascii="Times New Roman" w:hAnsi="Times New Roman" w:cs="Times New Roman"/>
                <w:sz w:val="22"/>
                <w:szCs w:val="22"/>
              </w:rPr>
              <w:t xml:space="preserve">НС</w:t>
            </w:r>
            <w:r>
              <w:rPr>
                <w:rFonts w:ascii="Times New Roman" w:hAnsi="Times New Roman" w:cs="Times New Roman"/>
                <w:sz w:val="22"/>
                <w:szCs w:val="22"/>
              </w:rPr>
              <w:t xml:space="preserve"> и </w:t>
            </w:r>
            <w:r>
              <w:rPr>
                <w:rFonts w:ascii="Times New Roman" w:hAnsi="Times New Roman" w:cs="Times New Roman"/>
                <w:sz w:val="22"/>
                <w:szCs w:val="22"/>
              </w:rPr>
              <w:t xml:space="preserve">ПАВ</w:t>
            </w:r>
            <w:r>
              <w:rPr>
                <w:rFonts w:ascii="Times New Roman" w:hAnsi="Times New Roman" w:cs="Times New Roman"/>
                <w:sz w:val="22"/>
                <w:szCs w:val="22"/>
              </w:rPr>
              <w:t xml:space="preserve">, в том числе у детей, включая профилактические мероприятия с участием лиц, эпизодически употребляющих </w:t>
            </w:r>
            <w:r>
              <w:rPr>
                <w:rFonts w:ascii="Times New Roman" w:hAnsi="Times New Roman" w:cs="Times New Roman"/>
                <w:sz w:val="22"/>
                <w:szCs w:val="22"/>
              </w:rPr>
              <w:t xml:space="preserve">ПАВ</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w:t>
            </w:r>
            <w:r>
              <w:rPr>
                <w:sz w:val="22"/>
                <w:szCs w:val="22"/>
              </w:rPr>
              <w:t xml:space="preserve">Центр общественного здоровья и медицинской профилактики) с 3 филиалами в городах:</w:t>
            </w:r>
            <w:r>
              <w:rPr>
                <w:sz w:val="22"/>
                <w:szCs w:val="22"/>
              </w:rPr>
              <w:t xml:space="preserve"> Сургут, Нижневартовск и Нефтеюганск, 5 центров здоровья (в том числе 3 центра здоровья для детского населения). </w:t>
            </w:r>
            <w:r>
              <w:rPr>
                <w:sz w:val="22"/>
                <w:szCs w:val="22"/>
              </w:rPr>
            </w:r>
            <w:r>
              <w:rPr>
                <w:sz w:val="22"/>
                <w:szCs w:val="22"/>
              </w:rPr>
            </w:r>
          </w:p>
          <w:p>
            <w:pPr>
              <w:ind w:firstLine="0"/>
              <w:spacing w:line="240" w:lineRule="auto"/>
              <w:rPr>
                <w:sz w:val="22"/>
                <w:szCs w:val="22"/>
              </w:rPr>
            </w:pPr>
            <w:r>
              <w:rPr>
                <w:sz w:val="22"/>
                <w:szCs w:val="22"/>
              </w:rPr>
              <w:t xml:space="preserve">Кроме того, в медицинских организациях автономного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rPr>
                <w:sz w:val="22"/>
                <w:szCs w:val="22"/>
              </w:rPr>
            </w:r>
            <w:r>
              <w:rPr>
                <w:sz w:val="22"/>
                <w:szCs w:val="22"/>
              </w:rPr>
            </w:r>
          </w:p>
          <w:p>
            <w:pPr>
              <w:ind w:firstLine="0"/>
              <w:spacing w:line="240" w:lineRule="auto"/>
              <w:rPr>
                <w:sz w:val="22"/>
                <w:szCs w:val="22"/>
              </w:rPr>
            </w:pPr>
            <w:r>
              <w:rPr>
                <w:sz w:val="22"/>
                <w:szCs w:val="22"/>
              </w:rPr>
              <w:t xml:space="preserve">В рамках формирования единого медиапространства</w:t>
            </w:r>
            <w:r>
              <w:rPr>
                <w:sz w:val="22"/>
                <w:szCs w:val="22"/>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r>
              <w:rPr>
                <w:sz w:val="22"/>
                <w:szCs w:val="22"/>
              </w:rPr>
            </w:r>
            <w:r>
              <w:rPr>
                <w:sz w:val="22"/>
                <w:szCs w:val="22"/>
              </w:rPr>
            </w:r>
          </w:p>
          <w:p>
            <w:pPr>
              <w:ind w:firstLine="0"/>
              <w:spacing w:line="240" w:lineRule="auto"/>
              <w:rPr>
                <w:sz w:val="22"/>
                <w:szCs w:val="22"/>
              </w:rPr>
            </w:pPr>
            <w:r>
              <w:rPr>
                <w:sz w:val="22"/>
                <w:szCs w:val="22"/>
              </w:rPr>
              <w:t xml:space="preserve">Согласно мониторингу информационного сопровождения деятельно</w:t>
            </w:r>
            <w:r>
              <w:rPr>
                <w:sz w:val="22"/>
                <w:szCs w:val="22"/>
              </w:rPr>
              <w:t xml:space="preserve">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инициировано 2 636 информационных повода.</w:t>
            </w:r>
            <w:r>
              <w:rPr>
                <w:sz w:val="22"/>
                <w:szCs w:val="22"/>
              </w:rPr>
            </w:r>
            <w:r>
              <w:rPr>
                <w:sz w:val="22"/>
                <w:szCs w:val="22"/>
              </w:rPr>
            </w:r>
          </w:p>
          <w:p>
            <w:pPr>
              <w:ind w:firstLine="0"/>
              <w:spacing w:line="240" w:lineRule="auto"/>
              <w:rPr>
                <w:sz w:val="22"/>
                <w:szCs w:val="22"/>
              </w:rPr>
            </w:pPr>
            <w:r>
              <w:rPr>
                <w:sz w:val="22"/>
                <w:szCs w:val="22"/>
              </w:rPr>
              <w:t xml:space="preserve">Ежегодно Центр общественного здоровья и медицинской профилактики издает и</w:t>
            </w:r>
            <w:r>
              <w:rPr>
                <w:sz w:val="22"/>
                <w:szCs w:val="22"/>
              </w:rPr>
              <w:t xml:space="preserve">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 в том числе листовка «Пора бросить курить!». </w:t>
            </w:r>
            <w:r>
              <w:rPr>
                <w:sz w:val="22"/>
                <w:szCs w:val="22"/>
              </w:rPr>
            </w:r>
            <w:r>
              <w:rPr>
                <w:sz w:val="22"/>
                <w:szCs w:val="22"/>
              </w:rPr>
            </w:r>
          </w:p>
          <w:p>
            <w:pPr>
              <w:ind w:firstLine="0"/>
              <w:spacing w:line="240" w:lineRule="auto"/>
              <w:rPr>
                <w:sz w:val="22"/>
                <w:szCs w:val="22"/>
              </w:rPr>
            </w:pPr>
            <w:r>
              <w:rPr>
                <w:sz w:val="22"/>
                <w:szCs w:val="22"/>
              </w:rPr>
              <w:t xml:space="preserve">В соответствии с приказом Департамента здравоохранения Ханты-Мансийского автономного округа – Югры от 22.12.2023 № 2047 «О проведении региональных тематических недель по профилактике заболеваний и пропаганде здорового образа жизни в Хант</w:t>
            </w:r>
            <w:r>
              <w:rPr>
                <w:sz w:val="22"/>
                <w:szCs w:val="22"/>
              </w:rPr>
              <w:t xml:space="preserve">ы-М</w:t>
            </w:r>
            <w:r>
              <w:rPr>
                <w:sz w:val="22"/>
                <w:szCs w:val="22"/>
              </w:rPr>
              <w:t xml:space="preserve">ансийском автономном округе – Югре в 2024 году» в Югре с 26.02.2024 по 03.03.2024 проведена Неделя профилактики употребления наркотических средств, с 11.03.2024 по 17.03.2024 - Неделя по борьбе с заражением и распространение хронического вирусного гепатита</w:t>
            </w:r>
            <w:r>
              <w:rPr>
                <w:sz w:val="22"/>
                <w:szCs w:val="22"/>
              </w:rPr>
              <w:t xml:space="preserve"> </w:t>
            </w:r>
            <w:r>
              <w:rPr>
                <w:sz w:val="22"/>
                <w:szCs w:val="22"/>
              </w:rPr>
              <w:t xml:space="preserve">С</w:t>
            </w:r>
            <w:r>
              <w:rPr>
                <w:sz w:val="22"/>
                <w:szCs w:val="22"/>
              </w:rPr>
              <w:t xml:space="preserve">, с 24.06.2024 по 30.06.2024 -  </w:t>
            </w:r>
            <w:r>
              <w:rPr>
                <w:sz w:val="22"/>
                <w:szCs w:val="22"/>
              </w:rPr>
              <w:t xml:space="preserve">Неделя</w:t>
            </w:r>
            <w:r>
              <w:rPr>
                <w:sz w:val="22"/>
                <w:szCs w:val="22"/>
              </w:rPr>
              <w:t xml:space="preserve"> профилактики употребления наркотических средств. </w:t>
            </w:r>
            <w:r>
              <w:rPr>
                <w:sz w:val="22"/>
                <w:szCs w:val="22"/>
              </w:rPr>
              <w:t xml:space="preserve">В рамках тематических недель органи</w:t>
            </w:r>
            <w:r>
              <w:rPr>
                <w:sz w:val="22"/>
                <w:szCs w:val="22"/>
              </w:rPr>
              <w:t xml:space="preserve">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инфографика и размещается в </w:t>
            </w:r>
            <w:r>
              <w:rPr>
                <w:sz w:val="22"/>
                <w:szCs w:val="22"/>
              </w:rPr>
              <w:t xml:space="preserve">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r>
              <w:rPr>
                <w:sz w:val="22"/>
                <w:szCs w:val="22"/>
              </w:rPr>
            </w:r>
            <w:r>
              <w:rPr>
                <w:sz w:val="22"/>
                <w:szCs w:val="22"/>
              </w:rPr>
            </w:r>
          </w:p>
          <w:p>
            <w:pPr>
              <w:ind w:firstLine="0"/>
              <w:spacing w:line="240" w:lineRule="auto"/>
              <w:tabs>
                <w:tab w:val="left" w:pos="559" w:leader="none"/>
              </w:tabs>
              <w:rPr>
                <w:sz w:val="22"/>
                <w:szCs w:val="22"/>
              </w:rPr>
              <w:outlineLvl w:val="1"/>
            </w:pPr>
            <w:r>
              <w:rPr>
                <w:sz w:val="22"/>
                <w:szCs w:val="22"/>
              </w:rPr>
              <w:t xml:space="preserve">Кроме того, в рамках реализации пл</w:t>
            </w:r>
            <w:r>
              <w:rPr>
                <w:sz w:val="22"/>
                <w:szCs w:val="22"/>
              </w:rPr>
              <w:t xml:space="preserve">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r>
              <w:rPr>
                <w:sz w:val="22"/>
                <w:szCs w:val="22"/>
              </w:rPr>
              <w:t xml:space="preserve">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w:t>
            </w:r>
            <w:r>
              <w:rPr>
                <w:sz w:val="22"/>
                <w:szCs w:val="22"/>
              </w:rPr>
              <w:t xml:space="preserve">ркотических и психоактивных веществ»  прочитана 2 691 лекция, число слушателей 53 484 чел, 95 721 бесед, число участников 210 344 чел., 29 семинаров, число участников 675 чел., 33 тренинга, число участников 1 155 чел., 302 урока здоровья для дошкольников и</w:t>
            </w:r>
            <w:r>
              <w:rPr>
                <w:sz w:val="22"/>
                <w:szCs w:val="22"/>
              </w:rPr>
              <w:t xml:space="preserve"> школьников, число участников 10 483 чел., 1086 кинодемонстраци</w:t>
            </w:r>
            <w:r>
              <w:rPr>
                <w:sz w:val="22"/>
                <w:szCs w:val="22"/>
              </w:rPr>
              <w:t xml:space="preserve">й, число зрителей 29 689 чел., 506 массовых мероприятий (акции, круглые столы, флешмобы, конкурсы, викторины и др.) общее число участников 99 736 чел., размещено 2 503 средств наглядной агитации, распространено 105 907 экз. тематической печатной продукции.</w:t>
            </w:r>
            <w:r>
              <w:rPr>
                <w:sz w:val="22"/>
                <w:szCs w:val="22"/>
              </w:rPr>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4</w:t>
            </w:r>
            <w:r>
              <w:rPr>
                <w:sz w:val="22"/>
                <w:szCs w:val="22"/>
              </w:rPr>
            </w:r>
            <w:r>
              <w:rPr>
                <w:sz w:val="22"/>
                <w:szCs w:val="22"/>
              </w:rPr>
            </w:r>
          </w:p>
        </w:tc>
        <w:tc>
          <w:tcPr>
            <w:shd w:val="clear" w:color="auto" w:fill="auto"/>
            <w:tcW w:w="2788"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Мероприятия по профилактике незаконного потреблени</w:t>
            </w:r>
            <w:r>
              <w:rPr>
                <w:sz w:val="22"/>
                <w:szCs w:val="22"/>
              </w:rPr>
              <w:t xml:space="preserve">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rPr>
                <w:sz w:val="22"/>
                <w:szCs w:val="22"/>
              </w:rPr>
            </w:r>
            <w:r>
              <w:rPr>
                <w:sz w:val="22"/>
                <w:szCs w:val="22"/>
              </w:rPr>
            </w:r>
          </w:p>
          <w:p>
            <w:pPr>
              <w:ind w:firstLine="0"/>
              <w:spacing w:line="240" w:lineRule="auto"/>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w:t>
            </w:r>
            <w:r>
              <w:rPr>
                <w:sz w:val="22"/>
                <w:szCs w:val="22"/>
              </w:rPr>
              <w:t xml:space="preserve">социо-культурные</w:t>
            </w:r>
            <w:r>
              <w:rPr>
                <w:sz w:val="22"/>
                <w:szCs w:val="22"/>
              </w:rPr>
              <w:t xml:space="preserve">.</w:t>
            </w:r>
            <w:r>
              <w:rPr>
                <w:sz w:val="22"/>
                <w:szCs w:val="22"/>
              </w:rPr>
            </w:r>
            <w:r>
              <w:rPr>
                <w:sz w:val="22"/>
                <w:szCs w:val="22"/>
              </w:rPr>
            </w:r>
          </w:p>
          <w:p>
            <w:pPr>
              <w:ind w:firstLine="0"/>
              <w:spacing w:line="240" w:lineRule="auto"/>
              <w:rPr>
                <w:sz w:val="22"/>
                <w:szCs w:val="22"/>
              </w:rPr>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rPr>
                <w:sz w:val="22"/>
                <w:szCs w:val="22"/>
              </w:rPr>
            </w:r>
            <w:r>
              <w:rPr>
                <w:sz w:val="22"/>
                <w:szCs w:val="22"/>
              </w:rPr>
            </w:r>
          </w:p>
          <w:p>
            <w:pPr>
              <w:ind w:firstLine="0"/>
              <w:spacing w:line="240" w:lineRule="auto"/>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психоактивных веществ;</w:t>
            </w:r>
            <w:r>
              <w:rPr>
                <w:sz w:val="22"/>
                <w:szCs w:val="22"/>
              </w:rPr>
            </w:r>
            <w:r>
              <w:rPr>
                <w:sz w:val="22"/>
                <w:szCs w:val="22"/>
              </w:rPr>
            </w:r>
          </w:p>
          <w:p>
            <w:pPr>
              <w:ind w:firstLine="0"/>
              <w:spacing w:line="240" w:lineRule="auto"/>
              <w:rPr>
                <w:sz w:val="22"/>
                <w:szCs w:val="22"/>
              </w:rPr>
            </w:pPr>
            <w:r>
              <w:rPr>
                <w:sz w:val="22"/>
                <w:szCs w:val="22"/>
              </w:rPr>
              <w:t xml:space="preserve">- развитие системы раннего выявления незаконных потребителей наркотиков и других психоактивных веществ;</w:t>
            </w:r>
            <w:r>
              <w:rPr>
                <w:sz w:val="22"/>
                <w:szCs w:val="22"/>
              </w:rPr>
            </w:r>
            <w:r>
              <w:rPr>
                <w:sz w:val="22"/>
                <w:szCs w:val="22"/>
              </w:rPr>
            </w:r>
          </w:p>
          <w:p>
            <w:pPr>
              <w:ind w:firstLine="0"/>
              <w:spacing w:line="240" w:lineRule="auto"/>
              <w:rPr>
                <w:sz w:val="22"/>
                <w:szCs w:val="22"/>
              </w:rPr>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rPr>
                <w:sz w:val="22"/>
                <w:szCs w:val="22"/>
              </w:rPr>
            </w:r>
            <w:r>
              <w:rPr>
                <w:sz w:val="22"/>
                <w:szCs w:val="22"/>
              </w:rPr>
            </w:r>
          </w:p>
          <w:p>
            <w:pPr>
              <w:ind w:firstLine="0"/>
              <w:spacing w:line="240" w:lineRule="auto"/>
              <w:rPr>
                <w:sz w:val="22"/>
                <w:szCs w:val="22"/>
              </w:rPr>
            </w:pPr>
            <w:r>
              <w:rPr>
                <w:sz w:val="22"/>
                <w:szCs w:val="22"/>
              </w:rPr>
              <w:t xml:space="preserve">- организация профилактической работы в организованных (образовательных) коллективах;</w:t>
            </w:r>
            <w:r>
              <w:rPr>
                <w:sz w:val="22"/>
                <w:szCs w:val="22"/>
              </w:rPr>
            </w:r>
            <w:r>
              <w:rPr>
                <w:sz w:val="22"/>
                <w:szCs w:val="22"/>
              </w:rPr>
            </w:r>
          </w:p>
          <w:p>
            <w:pPr>
              <w:ind w:firstLine="0"/>
              <w:spacing w:line="240" w:lineRule="auto"/>
              <w:rPr>
                <w:sz w:val="22"/>
                <w:szCs w:val="22"/>
              </w:rPr>
            </w:pPr>
            <w:r>
              <w:rPr>
                <w:sz w:val="22"/>
                <w:szCs w:val="22"/>
              </w:rPr>
              <w:t xml:space="preserve">-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r>
              <w:rPr>
                <w:sz w:val="22"/>
                <w:szCs w:val="22"/>
              </w:rPr>
            </w:r>
            <w:r>
              <w:rPr>
                <w:sz w:val="22"/>
                <w:szCs w:val="22"/>
              </w:rPr>
            </w:r>
          </w:p>
          <w:p>
            <w:pPr>
              <w:ind w:firstLine="0"/>
              <w:spacing w:line="240" w:lineRule="auto"/>
              <w:rPr>
                <w:sz w:val="22"/>
                <w:szCs w:val="22"/>
              </w:rPr>
            </w:pPr>
            <w:r>
              <w:rPr>
                <w:sz w:val="22"/>
                <w:szCs w:val="22"/>
              </w:rPr>
              <w:t xml:space="preserve">- формирование навыков здорового образа жизни.</w:t>
            </w:r>
            <w:r>
              <w:rPr>
                <w:sz w:val="22"/>
                <w:szCs w:val="22"/>
              </w:rPr>
            </w:r>
            <w:r>
              <w:rPr>
                <w:sz w:val="22"/>
                <w:szCs w:val="22"/>
              </w:rPr>
            </w:r>
          </w:p>
          <w:p>
            <w:pPr>
              <w:ind w:firstLine="0"/>
              <w:spacing w:line="240" w:lineRule="auto"/>
              <w:rPr>
                <w:sz w:val="22"/>
                <w:szCs w:val="22"/>
              </w:rPr>
            </w:pPr>
            <w:r>
              <w:rPr>
                <w:sz w:val="22"/>
                <w:szCs w:val="22"/>
              </w:rPr>
              <w:t xml:space="preserve">Кроме того, реализуются следующие перспективные мероприятия в системе здравоохранения автономного округа:</w:t>
            </w:r>
            <w:r>
              <w:rPr>
                <w:sz w:val="22"/>
                <w:szCs w:val="22"/>
              </w:rPr>
            </w:r>
            <w:r>
              <w:rPr>
                <w:sz w:val="22"/>
                <w:szCs w:val="22"/>
              </w:rPr>
            </w:r>
          </w:p>
          <w:p>
            <w:pPr>
              <w:ind w:firstLine="0"/>
              <w:spacing w:line="240" w:lineRule="auto"/>
              <w:rPr>
                <w:sz w:val="22"/>
                <w:szCs w:val="22"/>
              </w:rPr>
            </w:pPr>
            <w:r>
              <w:rPr>
                <w:sz w:val="22"/>
                <w:szCs w:val="22"/>
              </w:rPr>
              <w:t xml:space="preserve">-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rPr>
                <w:sz w:val="22"/>
                <w:szCs w:val="22"/>
              </w:rPr>
            </w:r>
            <w:r>
              <w:rPr>
                <w:sz w:val="22"/>
                <w:szCs w:val="22"/>
              </w:rPr>
            </w:r>
          </w:p>
          <w:p>
            <w:pPr>
              <w:ind w:firstLine="0"/>
              <w:spacing w:line="240" w:lineRule="auto"/>
              <w:rPr>
                <w:sz w:val="22"/>
                <w:szCs w:val="22"/>
              </w:rPr>
            </w:pPr>
            <w:r>
              <w:rPr>
                <w:sz w:val="22"/>
                <w:szCs w:val="22"/>
              </w:rPr>
              <w:t xml:space="preserve">- формирование системы профилактического медицинского 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2"/>
                <w:szCs w:val="22"/>
              </w:rPr>
            </w:r>
            <w:r>
              <w:rPr>
                <w:sz w:val="22"/>
                <w:szCs w:val="22"/>
              </w:rPr>
            </w:r>
          </w:p>
          <w:p>
            <w:pPr>
              <w:ind w:firstLine="0"/>
              <w:spacing w:line="240" w:lineRule="auto"/>
              <w:rPr>
                <w:sz w:val="22"/>
                <w:szCs w:val="22"/>
              </w:rPr>
            </w:pPr>
            <w:r>
              <w:rPr>
                <w:sz w:val="22"/>
                <w:szCs w:val="22"/>
              </w:rPr>
              <w:t xml:space="preserve">- телемедицинские консультации.</w:t>
            </w:r>
            <w:r>
              <w:rPr>
                <w:sz w:val="22"/>
                <w:szCs w:val="22"/>
              </w:rPr>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5</w:t>
            </w:r>
            <w:r>
              <w:rPr>
                <w:sz w:val="22"/>
                <w:szCs w:val="22"/>
              </w:rPr>
            </w:r>
            <w:r>
              <w:rPr>
                <w:sz w:val="22"/>
                <w:szCs w:val="22"/>
              </w:rPr>
            </w:r>
          </w:p>
        </w:tc>
        <w:tc>
          <w:tcPr>
            <w:shd w:val="clear" w:color="auto" w:fill="auto"/>
            <w:tcW w:w="2788" w:type="dxa"/>
            <w:textDirection w:val="lrTb"/>
            <w:noWrap w:val="false"/>
          </w:tcPr>
          <w:p>
            <w:pPr>
              <w:pStyle w:val="1649"/>
              <w:ind w:firstLine="0"/>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Осуществляются мероприятия по приобретению современных лекарственных препаратов и расходных материалов, диагностических сре</w:t>
            </w:r>
            <w:r>
              <w:rPr>
                <w:sz w:val="22"/>
                <w:szCs w:val="22"/>
              </w:rPr>
              <w:t xml:space="preserve">дств</w:t>
            </w:r>
            <w:r>
              <w:rPr>
                <w:sz w:val="22"/>
                <w:szCs w:val="22"/>
              </w:rPr>
              <w:t xml:space="preserve"> </w:t>
            </w:r>
            <w:r>
              <w:rPr>
                <w:sz w:val="22"/>
                <w:szCs w:val="22"/>
              </w:rPr>
              <w:t xml:space="preserve">дл</w:t>
            </w:r>
            <w:r>
              <w:rPr>
                <w:sz w:val="22"/>
                <w:szCs w:val="22"/>
              </w:rPr>
              <w:t xml:space="preserve">я выявления, определения чувствительности микобактерии туб</w:t>
            </w:r>
            <w:r>
              <w:rPr>
                <w:sz w:val="22"/>
                <w:szCs w:val="22"/>
              </w:rPr>
              <w:t xml:space="preserve">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r>
              <w:rPr>
                <w:sz w:val="22"/>
                <w:szCs w:val="22"/>
              </w:rPr>
            </w:r>
            <w:r>
              <w:rPr>
                <w:sz w:val="22"/>
                <w:szCs w:val="22"/>
              </w:rPr>
            </w:r>
          </w:p>
          <w:p>
            <w:pPr>
              <w:ind w:firstLine="0"/>
              <w:spacing w:line="240" w:lineRule="auto"/>
              <w:tabs>
                <w:tab w:val="left" w:pos="484" w:leader="none"/>
              </w:tabs>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«фтизиатрия».</w:t>
            </w:r>
            <w:r>
              <w:rPr>
                <w:sz w:val="22"/>
                <w:szCs w:val="22"/>
              </w:rPr>
            </w:r>
            <w:r>
              <w:rPr>
                <w:sz w:val="22"/>
                <w:szCs w:val="22"/>
              </w:rPr>
            </w:r>
          </w:p>
        </w:tc>
      </w:tr>
    </w:tbl>
    <w:p>
      <w:pPr>
        <w:ind w:firstLine="709"/>
        <w:spacing w:line="276" w:lineRule="auto"/>
        <w:tabs>
          <w:tab w:val="left" w:pos="540" w:leader="none"/>
        </w:tabs>
      </w:pPr>
      <w:r/>
      <w:r/>
    </w:p>
    <w:p>
      <w:pPr>
        <w:ind w:firstLine="709"/>
        <w:spacing w:line="276" w:lineRule="auto"/>
        <w:tabs>
          <w:tab w:val="left" w:pos="540" w:leader="none"/>
        </w:tabs>
        <w:rPr>
          <w:b/>
          <w:i/>
        </w:rPr>
      </w:pPr>
      <w:r>
        <w:rPr>
          <w:b/>
          <w:i/>
        </w:rPr>
        <w:t xml:space="preserve">3. «Сокращение числа лиц, у которых диагностированы наркомания или пагубное (с негативными последс</w:t>
      </w:r>
      <w:r>
        <w:rPr>
          <w:b/>
          <w:i/>
        </w:rPr>
        <w:t xml:space="preserve">твиями) потребление наркотиков»</w:t>
      </w:r>
      <w:r>
        <w:rPr>
          <w:b/>
          <w:i/>
        </w:rPr>
      </w:r>
      <w:r>
        <w:rPr>
          <w:b/>
          <w:i/>
        </w:rPr>
      </w:r>
    </w:p>
    <w:p>
      <w:pPr>
        <w:ind w:firstLine="709"/>
        <w:spacing w:line="276" w:lineRule="auto"/>
        <w:tabs>
          <w:tab w:val="left" w:pos="540" w:leader="none"/>
        </w:tabs>
      </w:pPr>
      <w:r>
        <w:t xml:space="preserve">Задачи, решаемые в этом приоритетном направлении:</w:t>
      </w:r>
      <w:r/>
    </w:p>
    <w:p>
      <w:pPr>
        <w:ind w:left="0" w:right="0" w:firstLine="709"/>
        <w:spacing w:line="276" w:lineRule="auto"/>
        <w:tabs>
          <w:tab w:val="left" w:pos="540" w:leader="none"/>
          <w:tab w:val="left" w:pos="992" w:leader="none"/>
        </w:tabs>
      </w:pPr>
      <w:r>
        <w:t xml:space="preserve">повышение эффективности функционирования наркологической службы, предупреждение случаев незаконного лечения больных наркоманией;</w:t>
      </w:r>
      <w:r/>
    </w:p>
    <w:p>
      <w:pPr>
        <w:ind w:left="0" w:right="0" w:firstLine="709"/>
        <w:spacing w:line="276" w:lineRule="auto"/>
        <w:tabs>
          <w:tab w:val="left" w:pos="540" w:leader="none"/>
          <w:tab w:val="left" w:pos="992" w:leader="none"/>
        </w:tabs>
      </w:pPr>
      <w:r>
        <w:t xml:space="preserve">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r/>
    </w:p>
    <w:p>
      <w:pPr>
        <w:ind w:left="0" w:right="0" w:firstLine="709"/>
        <w:spacing w:line="276" w:lineRule="auto"/>
        <w:tabs>
          <w:tab w:val="left" w:pos="540" w:leader="none"/>
          <w:tab w:val="left" w:pos="992" w:leader="none"/>
        </w:tabs>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r/>
    </w:p>
    <w:p>
      <w:pPr>
        <w:ind w:left="0" w:right="0" w:firstLine="709"/>
        <w:spacing w:line="276" w:lineRule="auto"/>
        <w:tabs>
          <w:tab w:val="left" w:pos="540" w:leader="none"/>
          <w:tab w:val="left" w:pos="992" w:leader="none"/>
        </w:tabs>
      </w:pPr>
      <w:r>
        <w:t xml:space="preserve">Меры, обеспечивающие решение указанных задач:</w:t>
      </w:r>
      <w:r/>
    </w:p>
    <w:p>
      <w:pPr>
        <w:ind w:left="0" w:right="0" w:firstLine="709"/>
        <w:spacing w:line="276" w:lineRule="auto"/>
        <w:tabs>
          <w:tab w:val="left" w:pos="540" w:leader="none"/>
          <w:tab w:val="left" w:pos="992" w:leader="none"/>
        </w:tabs>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r/>
    </w:p>
    <w:p>
      <w:pPr>
        <w:ind w:left="0" w:right="0" w:firstLine="709"/>
        <w:spacing w:line="276" w:lineRule="auto"/>
        <w:tabs>
          <w:tab w:val="left" w:pos="540" w:leader="none"/>
          <w:tab w:val="left" w:pos="992" w:leader="none"/>
        </w:tabs>
      </w:pPr>
      <w:r>
        <w:t xml:space="preserve">совершенствование методов профилактики и диагностики незаконного потребления нар</w:t>
      </w:r>
      <w:r>
        <w:t xml:space="preserve">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r/>
    </w:p>
    <w:p>
      <w:pPr>
        <w:ind w:left="0" w:right="0" w:firstLine="709"/>
        <w:spacing w:line="276" w:lineRule="auto"/>
        <w:tabs>
          <w:tab w:val="left" w:pos="540" w:leader="none"/>
          <w:tab w:val="left" w:pos="992" w:leader="none"/>
        </w:tabs>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r/>
    </w:p>
    <w:p>
      <w:pPr>
        <w:ind w:left="0" w:right="0" w:firstLine="709"/>
        <w:spacing w:line="276" w:lineRule="auto"/>
        <w:tabs>
          <w:tab w:val="left" w:pos="540" w:leader="none"/>
          <w:tab w:val="left" w:pos="992" w:leader="none"/>
        </w:tabs>
      </w:pPr>
      <w:r>
        <w:t xml:space="preserve">внедрение программ профилактики социально значимых инфекционных заболеваний среди наркопотребителей;</w:t>
      </w:r>
      <w:r/>
    </w:p>
    <w:p>
      <w:pPr>
        <w:ind w:left="0" w:right="0" w:firstLine="709"/>
        <w:spacing w:line="276" w:lineRule="auto"/>
        <w:tabs>
          <w:tab w:val="left" w:pos="540" w:leader="none"/>
          <w:tab w:val="left" w:pos="992" w:leader="none"/>
        </w:tabs>
      </w:pPr>
      <w:r>
        <w:t xml:space="preserve">развитие системы социальной реабилитации, а также ресоциализации наркопотребителей;</w:t>
      </w:r>
      <w:r/>
    </w:p>
    <w:p>
      <w:pPr>
        <w:ind w:left="0" w:right="0" w:firstLine="709"/>
        <w:spacing w:line="276" w:lineRule="auto"/>
        <w:tabs>
          <w:tab w:val="left" w:pos="540" w:leader="none"/>
          <w:tab w:val="left" w:pos="992" w:leader="none"/>
        </w:tabs>
      </w:pPr>
      <w:r>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r/>
    </w:p>
    <w:p>
      <w:pPr>
        <w:ind w:left="0" w:right="0" w:firstLine="709"/>
        <w:spacing w:line="276" w:lineRule="auto"/>
        <w:tabs>
          <w:tab w:val="left" w:pos="540" w:leader="none"/>
          <w:tab w:val="left" w:pos="992" w:leader="none"/>
        </w:tabs>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r/>
    </w:p>
    <w:p>
      <w:pPr>
        <w:ind w:left="0" w:right="0" w:firstLine="709"/>
        <w:spacing w:line="276" w:lineRule="auto"/>
        <w:tabs>
          <w:tab w:val="left" w:pos="540" w:leader="none"/>
          <w:tab w:val="left" w:pos="992" w:leader="none"/>
        </w:tabs>
      </w:pPr>
      <w:r>
        <w:t xml:space="preserve">сокращение количества отравления людей и снижение уровня </w:t>
      </w:r>
      <w:r>
        <w:t xml:space="preserve">смертности населения в результате незаконного потребления наркотиков.</w:t>
      </w:r>
      <w:r/>
    </w:p>
    <w:p>
      <w:pPr>
        <w:ind w:firstLine="709"/>
        <w:spacing w:line="276" w:lineRule="auto"/>
        <w:tabs>
          <w:tab w:val="left" w:pos="540" w:leader="none"/>
        </w:tabs>
      </w:pPr>
      <w:r>
        <w:t xml:space="preserve">Информация о реализации указанного приоритетного направления:</w:t>
      </w:r>
      <w:r/>
    </w:p>
    <w:p>
      <w:pPr>
        <w:ind w:firstLine="709"/>
        <w:spacing w:line="276" w:lineRule="auto"/>
        <w:tabs>
          <w:tab w:val="left" w:pos="540" w:leader="none"/>
        </w:tabs>
      </w:pPr>
      <w:r/>
      <w:r/>
    </w:p>
    <w:tbl>
      <w:tblPr>
        <w:tblStyle w:val="1651"/>
        <w:tblW w:w="0" w:type="auto"/>
        <w:tblLook w:val="04A0" w:firstRow="1" w:lastRow="0" w:firstColumn="1" w:lastColumn="0" w:noHBand="0" w:noVBand="1"/>
      </w:tblPr>
      <w:tblGrid>
        <w:gridCol w:w="589"/>
        <w:gridCol w:w="2780"/>
        <w:gridCol w:w="6138"/>
      </w:tblGrid>
      <w:tr>
        <w:trPr>
          <w:tblHeader/>
        </w:trPr>
        <w:tc>
          <w:tcPr>
            <w:tcW w:w="589" w:type="dxa"/>
            <w:vAlign w:val="center"/>
            <w:textDirection w:val="lrTb"/>
            <w:noWrap w:val="false"/>
          </w:tcPr>
          <w:p>
            <w:pPr>
              <w:ind w:firstLine="0"/>
              <w:jc w:val="center"/>
              <w:spacing w:line="235" w:lineRule="auto"/>
              <w:rPr>
                <w:sz w:val="22"/>
                <w:szCs w:val="22"/>
              </w:rPr>
              <w:outlineLvl w:val="1"/>
            </w:pPr>
            <w:r>
              <w:rPr>
                <w:sz w:val="22"/>
                <w:szCs w:val="22"/>
              </w:rPr>
              <w:t xml:space="preserve">№ </w:t>
            </w:r>
            <w:r>
              <w:rPr>
                <w:sz w:val="22"/>
                <w:szCs w:val="22"/>
              </w:rPr>
              <w:t xml:space="preserve">п</w:t>
            </w:r>
            <w:r>
              <w:rPr>
                <w:sz w:val="22"/>
                <w:szCs w:val="22"/>
              </w:rPr>
              <w:t xml:space="preserve">/п</w:t>
            </w:r>
            <w:r>
              <w:rPr>
                <w:sz w:val="22"/>
                <w:szCs w:val="22"/>
              </w:rPr>
            </w:r>
            <w:r>
              <w:rPr>
                <w:sz w:val="22"/>
                <w:szCs w:val="22"/>
              </w:rPr>
            </w:r>
          </w:p>
        </w:tc>
        <w:tc>
          <w:tcPr>
            <w:tcW w:w="2780" w:type="dxa"/>
            <w:vAlign w:val="center"/>
            <w:textDirection w:val="lrTb"/>
            <w:noWrap w:val="false"/>
          </w:tcPr>
          <w:p>
            <w:pPr>
              <w:ind w:firstLine="0"/>
              <w:jc w:val="center"/>
              <w:spacing w:line="235" w:lineRule="auto"/>
              <w:rPr>
                <w:sz w:val="22"/>
                <w:szCs w:val="22"/>
              </w:rPr>
            </w:pPr>
            <w:r>
              <w:rPr>
                <w:sz w:val="22"/>
                <w:szCs w:val="22"/>
              </w:rPr>
              <w:t xml:space="preserve">Мероприятия</w:t>
            </w:r>
            <w:r>
              <w:rPr>
                <w:sz w:val="22"/>
                <w:szCs w:val="22"/>
              </w:rPr>
            </w:r>
            <w:r>
              <w:rPr>
                <w:sz w:val="22"/>
                <w:szCs w:val="22"/>
              </w:rPr>
            </w:r>
          </w:p>
        </w:tc>
        <w:tc>
          <w:tcPr>
            <w:tcW w:w="6138" w:type="dxa"/>
            <w:vAlign w:val="center"/>
            <w:textDirection w:val="lrTb"/>
            <w:noWrap w:val="false"/>
          </w:tcPr>
          <w:p>
            <w:pPr>
              <w:ind w:firstLine="0"/>
              <w:jc w:val="center"/>
              <w:spacing w:line="235"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w:t>
            </w:r>
            <w:r>
              <w:rPr>
                <w:sz w:val="22"/>
                <w:szCs w:val="22"/>
              </w:rPr>
            </w:r>
            <w:r>
              <w:rPr>
                <w:sz w:val="22"/>
                <w:szCs w:val="22"/>
              </w:rPr>
            </w:r>
          </w:p>
        </w:tc>
        <w:tc>
          <w:tcPr>
            <w:tcW w:w="2780" w:type="dxa"/>
            <w:textDirection w:val="lrTb"/>
            <w:noWrap w:val="false"/>
          </w:tcPr>
          <w:p>
            <w:pPr>
              <w:pStyle w:val="1649"/>
              <w:ind w:firstLine="0"/>
              <w:jc w:val="both"/>
              <w:spacing w:line="235" w:lineRule="auto"/>
              <w:rPr>
                <w:rFonts w:ascii="Times New Roman" w:hAnsi="Times New Roman" w:cs="Times New Roman"/>
                <w:sz w:val="22"/>
                <w:szCs w:val="22"/>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bCs/>
                <w:sz w:val="22"/>
                <w:szCs w:val="22"/>
              </w:rPr>
              <w:t xml:space="preserve">По государственной программы Ханты-Мансийского автономного округа – Югры «Безопасность жизнедеятельности и профилактика правонарушений»</w:t>
            </w:r>
            <w:r>
              <w:rPr>
                <w:sz w:val="22"/>
                <w:szCs w:val="22"/>
              </w:rPr>
              <w:t xml:space="preserve">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w:t>
            </w:r>
            <w:r>
              <w:rPr>
                <w:sz w:val="22"/>
                <w:szCs w:val="22"/>
              </w:rPr>
            </w:r>
            <w:r>
              <w:rPr>
                <w:sz w:val="22"/>
                <w:szCs w:val="22"/>
              </w:rPr>
            </w:r>
          </w:p>
          <w:p>
            <w:pPr>
              <w:ind w:firstLine="0"/>
              <w:spacing w:line="235" w:lineRule="auto"/>
              <w:rPr>
                <w:sz w:val="22"/>
                <w:szCs w:val="22"/>
              </w:rPr>
            </w:pPr>
            <w:r>
              <w:rPr>
                <w:sz w:val="22"/>
                <w:szCs w:val="22"/>
              </w:rPr>
              <w:t xml:space="preserve">Осуществлено обновление методического обеспечения для анализа биологических объектов, включающего библиотеки масс-спектров </w:t>
            </w:r>
            <w:r>
              <w:rPr>
                <w:sz w:val="22"/>
                <w:szCs w:val="22"/>
              </w:rPr>
              <w:t xml:space="preserve">с</w:t>
            </w:r>
            <w:r>
              <w:rPr>
                <w:sz w:val="22"/>
                <w:szCs w:val="22"/>
              </w:rPr>
              <w:t xml:space="preserve">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w:t>
            </w:r>
            <w:r>
              <w:rPr>
                <w:sz w:val="22"/>
                <w:szCs w:val="22"/>
              </w:rPr>
              <w:t xml:space="preserve">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фотофиксации и анализа иммунохроматографических экспресс-тестов «АМ-900») в количестве 2 шт., реагенты </w:t>
            </w:r>
            <w:r>
              <w:rPr>
                <w:sz w:val="22"/>
                <w:szCs w:val="22"/>
              </w:rPr>
              <w:t xml:space="preserve">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w:t>
            </w:r>
            <w:r>
              <w:rPr>
                <w:sz w:val="22"/>
                <w:szCs w:val="22"/>
              </w:rPr>
            </w:r>
            <w:r>
              <w:rPr>
                <w:sz w:val="22"/>
                <w:szCs w:val="22"/>
              </w:rPr>
            </w:r>
          </w:p>
          <w:p>
            <w:pPr>
              <w:ind w:firstLine="0"/>
              <w:spacing w:line="235" w:lineRule="auto"/>
              <w:rPr>
                <w:sz w:val="22"/>
                <w:szCs w:val="22"/>
              </w:rPr>
            </w:pPr>
            <w:r>
              <w:rPr>
                <w:sz w:val="22"/>
                <w:szCs w:val="22"/>
              </w:rPr>
              <w:t xml:space="preserve">Взаимодействие системы здравоохранения с системой образования Югры в соответствии с современной нормативной базой включает ранее выявление незаконного потребления наркотических средств и психотропных веществ </w:t>
            </w:r>
            <w:r>
              <w:rPr>
                <w:sz w:val="22"/>
                <w:szCs w:val="22"/>
              </w:rPr>
              <w:t xml:space="preserve">среди</w:t>
            </w:r>
            <w:r>
              <w:rPr>
                <w:sz w:val="22"/>
                <w:szCs w:val="22"/>
              </w:rPr>
              <w:t xml:space="preserve"> обучающихся.</w:t>
            </w:r>
            <w:r>
              <w:rPr>
                <w:sz w:val="22"/>
                <w:szCs w:val="22"/>
              </w:rPr>
            </w:r>
            <w:r>
              <w:rPr>
                <w:sz w:val="22"/>
                <w:szCs w:val="22"/>
              </w:rPr>
            </w:r>
          </w:p>
          <w:p>
            <w:pPr>
              <w:ind w:firstLine="0"/>
              <w:spacing w:line="235" w:lineRule="auto"/>
              <w:rPr>
                <w:sz w:val="22"/>
                <w:szCs w:val="22"/>
              </w:rPr>
            </w:pPr>
            <w:r>
              <w:rPr>
                <w:sz w:val="22"/>
                <w:szCs w:val="22"/>
              </w:rPr>
              <w:t xml:space="preserve">С учетом современной нормативной базой в 2023-2024 учебному году для прохож</w:t>
            </w:r>
            <w:r>
              <w:rPr>
                <w:sz w:val="22"/>
                <w:szCs w:val="22"/>
              </w:rPr>
              <w:t xml:space="preserve">дения профилактических медицинских осмотров были сформированы календарные планы в отношении 3 462 обучающихся, количество обучающихся, прошедших профилактические медицинские осмотры составило 2 213 человека (63,9 % от числа включенных в календарные планы).</w:t>
            </w:r>
            <w:r>
              <w:rPr>
                <w:sz w:val="22"/>
                <w:szCs w:val="22"/>
              </w:rPr>
            </w:r>
            <w:r>
              <w:rPr>
                <w:sz w:val="22"/>
                <w:szCs w:val="22"/>
              </w:rPr>
            </w:r>
          </w:p>
          <w:p>
            <w:pPr>
              <w:ind w:firstLine="0"/>
              <w:spacing w:line="235" w:lineRule="auto"/>
              <w:rPr>
                <w:sz w:val="22"/>
                <w:szCs w:val="22"/>
              </w:rPr>
            </w:pPr>
            <w:r>
              <w:rPr>
                <w:sz w:val="22"/>
                <w:szCs w:val="22"/>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217 </w:t>
            </w:r>
            <w:r>
              <w:rPr>
                <w:sz w:val="22"/>
                <w:szCs w:val="22"/>
              </w:rPr>
              <w:t xml:space="preserve">обучающихся</w:t>
            </w:r>
            <w:r>
              <w:rPr>
                <w:sz w:val="22"/>
                <w:szCs w:val="22"/>
              </w:rPr>
              <w:t xml:space="preserve"> (6,3 % от числа включенных в календарные планы). Не прошли профилактические медицинские осмотры в связи с отказом – 1 034 человека (29,8 % от числа </w:t>
            </w:r>
            <w:r>
              <w:rPr>
                <w:sz w:val="22"/>
                <w:szCs w:val="22"/>
              </w:rPr>
              <w:t xml:space="preserve">включенных</w:t>
            </w:r>
            <w:r>
              <w:rPr>
                <w:sz w:val="22"/>
                <w:szCs w:val="22"/>
              </w:rPr>
              <w:t xml:space="preserve"> в календарные планы). </w:t>
            </w:r>
            <w:r>
              <w:rPr>
                <w:sz w:val="22"/>
                <w:szCs w:val="22"/>
              </w:rPr>
            </w:r>
            <w:r>
              <w:rPr>
                <w:sz w:val="22"/>
                <w:szCs w:val="22"/>
              </w:rPr>
            </w:r>
          </w:p>
          <w:p>
            <w:pPr>
              <w:ind w:firstLine="0"/>
              <w:spacing w:line="235" w:lineRule="auto"/>
              <w:rPr>
                <w:sz w:val="22"/>
                <w:szCs w:val="22"/>
              </w:rPr>
            </w:pPr>
            <w:r>
              <w:rPr>
                <w:sz w:val="22"/>
                <w:szCs w:val="22"/>
              </w:rPr>
              <w:t xml:space="preserve">На этапе медицинского осмотра с </w:t>
            </w:r>
            <w:r>
              <w:rPr>
                <w:sz w:val="22"/>
                <w:szCs w:val="22"/>
              </w:rPr>
              <w:t xml:space="preserve">обучающимися</w:t>
            </w:r>
            <w:r>
              <w:rPr>
                <w:sz w:val="22"/>
                <w:szCs w:val="22"/>
              </w:rPr>
              <w:t xml:space="preserve">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r>
              <w:rPr>
                <w:sz w:val="22"/>
                <w:szCs w:val="22"/>
              </w:rPr>
            </w:r>
            <w:r>
              <w:rPr>
                <w:sz w:val="22"/>
                <w:szCs w:val="22"/>
              </w:rPr>
            </w:r>
          </w:p>
          <w:p>
            <w:pPr>
              <w:ind w:firstLine="0"/>
              <w:spacing w:line="235" w:lineRule="auto"/>
              <w:rPr>
                <w:rFonts w:eastAsia="Calibri"/>
                <w:sz w:val="22"/>
                <w:szCs w:val="22"/>
              </w:rPr>
            </w:pPr>
            <w:r>
              <w:rPr>
                <w:sz w:val="22"/>
                <w:szCs w:val="22"/>
              </w:rPr>
              <w:t xml:space="preserve">Из числа прошедших профилактические медицинские осмотры на этапе предварительных химико-токсикологических исследований биологических сред для выявления в организме следов наркотических средств, положительные результаты не зарегистрированы.</w:t>
            </w:r>
            <w:r>
              <w:rPr>
                <w:rFonts w:eastAsia="Calibri"/>
                <w:sz w:val="22"/>
                <w:szCs w:val="22"/>
              </w:rPr>
            </w:r>
            <w:r>
              <w:rPr>
                <w:rFonts w:eastAsia="Calibri"/>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2</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рамках реализации госуда</w:t>
            </w:r>
            <w:r>
              <w:rPr>
                <w:sz w:val="22"/>
                <w:szCs w:val="22"/>
              </w:rPr>
              <w:t xml:space="preserve">рственной программы </w:t>
              <w:br/>
              <w:t xml:space="preserve">Ханты-Мансийского автономного округа – Югры «Безопасность жизнедеятельности и профилактика правонарушений» подпрограммы 2 «Профилактика правонарушений, незаконного оборота и потребления наркотических средств и психотропных веществ» ком</w:t>
            </w:r>
            <w:r>
              <w:rPr>
                <w:sz w:val="22"/>
                <w:szCs w:val="22"/>
              </w:rPr>
              <w:t xml:space="preserve">плекса процессных мероприятий 2.1 «Профилактика правонарушений и обеспечение защиты прав потребителей» 2024 году была осуществлена поставка тест-панелей для определения психоактивных веществ в моче на 13 видов психоактивных веществ в количестве 250 шт. для</w:t>
            </w:r>
            <w:r>
              <w:rPr>
                <w:sz w:val="22"/>
                <w:szCs w:val="22"/>
              </w:rPr>
              <w:t xml:space="preserve"> лиц, находящихся под надзором системы исполнения наказания в количестве 250 шт.</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3</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w:t>
            </w:r>
            <w:r>
              <w:rPr>
                <w:rFonts w:ascii="Times New Roman" w:hAnsi="Times New Roman" w:cs="Times New Roman"/>
                <w:sz w:val="22"/>
                <w:szCs w:val="22"/>
              </w:rPr>
              <w:t xml:space="preserve">государственной системы здравоохранения, исходя из потребностей населения, а также региональными особенностями и территориальной доступностью</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color w:val="000000"/>
                <w:sz w:val="22"/>
                <w:szCs w:val="22"/>
              </w:rPr>
              <w:t xml:space="preserve">На т</w:t>
            </w:r>
            <w:r>
              <w:rPr>
                <w:color w:val="000000"/>
                <w:sz w:val="22"/>
                <w:szCs w:val="22"/>
              </w:rPr>
              <w:t xml:space="preserve">ерритории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климато-географических</w:t>
            </w:r>
            <w:r>
              <w:rPr>
                <w:color w:val="000000"/>
                <w:sz w:val="22"/>
                <w:szCs w:val="22"/>
              </w:rPr>
              <w:t xml:space="preserve">, транспортных, этно-культуральных </w:t>
            </w:r>
            <w:r>
              <w:rPr>
                <w:color w:val="000000"/>
                <w:sz w:val="22"/>
                <w:szCs w:val="22"/>
              </w:rPr>
              <w:t xml:space="preserve">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w:t>
            </w:r>
            <w:r>
              <w:rPr>
                <w:color w:val="000000"/>
                <w:sz w:val="22"/>
                <w:szCs w:val="22"/>
              </w:rPr>
              <w:t xml:space="preserve">,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w:t>
            </w:r>
            <w:r>
              <w:rPr>
                <w:color w:val="000000"/>
                <w:sz w:val="22"/>
                <w:szCs w:val="22"/>
              </w:rPr>
              <w:t xml:space="preserve">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w:t>
            </w:r>
            <w:r>
              <w:rPr>
                <w:sz w:val="22"/>
                <w:szCs w:val="22"/>
              </w:rPr>
              <w:t xml:space="preserve"> </w:t>
            </w:r>
            <w:r>
              <w:rPr>
                <w:color w:val="000000"/>
                <w:sz w:val="22"/>
                <w:szCs w:val="22"/>
              </w:rPr>
              <w:t xml:space="preserve">приказ Депздрава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4</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округе инфраструктуры системы меди</w:t>
            </w:r>
            <w:r>
              <w:rPr>
                <w:rFonts w:ascii="Times New Roman" w:hAnsi="Times New Roman" w:cs="Times New Roman"/>
                <w:sz w:val="22"/>
                <w:szCs w:val="22"/>
              </w:rPr>
              <w:t xml:space="preserve">цинской профилактики потребления ПАВ, включая организацию деятельности кабинетов профилактики наркологических расстройств, в т.ч. в составе многопрофильных медицинских организаций, с использованием (при необходимости) принципа межрайонного функционирования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sz w:val="22"/>
                <w:szCs w:val="22"/>
              </w:rPr>
              <w:t xml:space="preserve">В специализированных медицинских организациях Югры, оказывающих наркологическую помощь, функционально выделены кабинеты профилактики наркологических расстройств, всего 2 кабинета. </w:t>
            </w:r>
            <w:r>
              <w:rPr>
                <w:sz w:val="22"/>
                <w:szCs w:val="22"/>
              </w:rPr>
            </w:r>
            <w:r>
              <w:rPr>
                <w:sz w:val="22"/>
                <w:szCs w:val="22"/>
              </w:rPr>
            </w:r>
          </w:p>
          <w:p>
            <w:pPr>
              <w:ind w:firstLine="0"/>
              <w:spacing w:line="235" w:lineRule="auto"/>
              <w:rPr>
                <w:sz w:val="22"/>
                <w:szCs w:val="22"/>
              </w:rPr>
            </w:pPr>
            <w:r>
              <w:rPr>
                <w:sz w:val="22"/>
                <w:szCs w:val="22"/>
              </w:rPr>
              <w:t xml:space="preserve">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r>
              <w:rPr>
                <w:sz w:val="22"/>
                <w:szCs w:val="22"/>
              </w:rPr>
            </w:r>
            <w:r>
              <w:rPr>
                <w:sz w:val="22"/>
                <w:szCs w:val="22"/>
              </w:rPr>
            </w:r>
          </w:p>
          <w:p>
            <w:pPr>
              <w:ind w:firstLine="0"/>
              <w:spacing w:line="235" w:lineRule="auto"/>
              <w:rPr>
                <w:sz w:val="22"/>
                <w:szCs w:val="22"/>
              </w:rPr>
              <w:outlineLvl w:val="1"/>
            </w:pPr>
            <w:r>
              <w:rPr>
                <w:sz w:val="22"/>
                <w:szCs w:val="22"/>
              </w:rPr>
              <w:t xml:space="preserve">Взаимодействие </w:t>
            </w:r>
            <w:r>
              <w:rPr>
                <w:sz w:val="22"/>
                <w:szCs w:val="22"/>
              </w:rPr>
              <w:t xml:space="preserve">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w:t>
            </w:r>
            <w:r>
              <w:rPr>
                <w:sz w:val="22"/>
                <w:szCs w:val="22"/>
              </w:rPr>
              <w:t xml:space="preserve">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w:t>
            </w:r>
            <w:r>
              <w:rPr>
                <w:sz w:val="22"/>
                <w:szCs w:val="22"/>
              </w:rPr>
              <w:t xml:space="preserve">ств ср</w:t>
            </w:r>
            <w:r>
              <w:rPr>
                <w:sz w:val="22"/>
                <w:szCs w:val="22"/>
              </w:rPr>
              <w:t xml:space="preserve">еди населения, обучения специалистов, оказание консультативной помощи по отказу от потребления ПАВ специалистам других медицинских организаций.</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5</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w:t>
            </w:r>
            <w:r>
              <w:rPr>
                <w:rFonts w:ascii="Times New Roman" w:hAnsi="Times New Roman" w:cs="Times New Roman"/>
                <w:sz w:val="22"/>
                <w:szCs w:val="22"/>
              </w:rPr>
              <w:t xml:space="preserve">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w:t>
            </w:r>
            <w:r>
              <w:rPr>
                <w:rFonts w:ascii="Times New Roman" w:hAnsi="Times New Roman" w:cs="Times New Roman"/>
                <w:sz w:val="22"/>
                <w:szCs w:val="22"/>
              </w:rPr>
              <w:t xml:space="preserve">региональными особенностями, территориально-транспортной доступностью и потребностями населения)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r>
              <w:rPr>
                <w:sz w:val="22"/>
                <w:szCs w:val="22"/>
              </w:rPr>
            </w:r>
            <w:r>
              <w:rPr>
                <w:sz w:val="22"/>
                <w:szCs w:val="22"/>
              </w:rPr>
            </w:r>
          </w:p>
          <w:p>
            <w:pPr>
              <w:ind w:firstLine="0"/>
              <w:spacing w:line="235" w:lineRule="auto"/>
              <w:rPr>
                <w:sz w:val="22"/>
                <w:szCs w:val="22"/>
              </w:rPr>
              <w:outlineLvl w:val="1"/>
            </w:pPr>
            <w:r>
              <w:rPr>
                <w:sz w:val="22"/>
                <w:szCs w:val="22"/>
              </w:rPr>
              <w:t xml:space="preserve">- краткосрочный этап стационарной реабилитации:</w:t>
            </w:r>
            <w:r>
              <w:rPr>
                <w:sz w:val="22"/>
                <w:szCs w:val="22"/>
              </w:rPr>
            </w:r>
            <w:r>
              <w:rPr>
                <w:sz w:val="22"/>
                <w:szCs w:val="22"/>
              </w:rPr>
            </w:r>
          </w:p>
          <w:p>
            <w:pPr>
              <w:ind w:firstLine="0"/>
              <w:spacing w:line="235" w:lineRule="auto"/>
              <w:rPr>
                <w:sz w:val="22"/>
                <w:szCs w:val="22"/>
              </w:rPr>
              <w:outlineLvl w:val="1"/>
            </w:pPr>
            <w:r>
              <w:rPr>
                <w:sz w:val="22"/>
                <w:szCs w:val="22"/>
              </w:rPr>
              <w:t xml:space="preserve">БУ ХМАО-Югры «Сургутская клиническая психоневрологическая больница» (33 койко-места);</w:t>
            </w:r>
            <w:r>
              <w:rPr>
                <w:sz w:val="22"/>
                <w:szCs w:val="22"/>
              </w:rPr>
            </w:r>
            <w:r>
              <w:rPr>
                <w:sz w:val="22"/>
                <w:szCs w:val="22"/>
              </w:rPr>
            </w:r>
          </w:p>
          <w:p>
            <w:pPr>
              <w:ind w:firstLine="0"/>
              <w:spacing w:line="235" w:lineRule="auto"/>
              <w:rPr>
                <w:sz w:val="22"/>
                <w:szCs w:val="22"/>
              </w:rPr>
              <w:outlineLvl w:val="1"/>
            </w:pPr>
            <w:r>
              <w:rPr>
                <w:sz w:val="22"/>
                <w:szCs w:val="22"/>
              </w:rPr>
              <w:t xml:space="preserve">БУ ХМАО-Югры «Советская психоневрологическая больница» (3 койко-места в филиале учреждения в г. Урай);</w:t>
            </w:r>
            <w:r>
              <w:rPr>
                <w:sz w:val="22"/>
                <w:szCs w:val="22"/>
              </w:rPr>
            </w:r>
            <w:r>
              <w:rPr>
                <w:sz w:val="22"/>
                <w:szCs w:val="22"/>
              </w:rPr>
            </w:r>
          </w:p>
          <w:p>
            <w:pPr>
              <w:ind w:firstLine="0"/>
              <w:spacing w:line="235" w:lineRule="auto"/>
              <w:rPr>
                <w:sz w:val="22"/>
                <w:szCs w:val="22"/>
              </w:rPr>
              <w:outlineLvl w:val="1"/>
            </w:pPr>
            <w:r>
              <w:rPr>
                <w:sz w:val="22"/>
                <w:szCs w:val="22"/>
              </w:rPr>
              <w:t xml:space="preserve">БУ ХМАО-Югры «Нижневартовская психоневрологическая больница» (25 койко-мест).</w:t>
            </w:r>
            <w:r>
              <w:rPr>
                <w:sz w:val="22"/>
                <w:szCs w:val="22"/>
              </w:rPr>
            </w:r>
            <w:r>
              <w:rPr>
                <w:sz w:val="22"/>
                <w:szCs w:val="22"/>
              </w:rPr>
            </w:r>
          </w:p>
          <w:p>
            <w:pPr>
              <w:ind w:firstLine="0"/>
              <w:spacing w:line="235" w:lineRule="auto"/>
              <w:rPr>
                <w:sz w:val="22"/>
                <w:szCs w:val="22"/>
              </w:rPr>
              <w:outlineLvl w:val="1"/>
            </w:pPr>
            <w:r>
              <w:rPr>
                <w:sz w:val="22"/>
                <w:szCs w:val="22"/>
              </w:rPr>
              <w:t xml:space="preserve">- этап стационарной абилитации-реабилитации осуществляется на базе КУ ХМАО-Югры «Лемпинский наркологический реабилитационный центр» (50 койко-мест).</w:t>
            </w:r>
            <w:r>
              <w:rPr>
                <w:sz w:val="22"/>
                <w:szCs w:val="22"/>
              </w:rPr>
            </w:r>
            <w:r>
              <w:rPr>
                <w:sz w:val="22"/>
                <w:szCs w:val="22"/>
              </w:rPr>
            </w:r>
          </w:p>
          <w:p>
            <w:pPr>
              <w:ind w:firstLine="0"/>
              <w:spacing w:line="235" w:lineRule="auto"/>
              <w:rPr>
                <w:sz w:val="22"/>
                <w:szCs w:val="22"/>
              </w:rPr>
              <w:outlineLvl w:val="1"/>
            </w:pPr>
            <w:r>
              <w:rPr>
                <w:sz w:val="22"/>
                <w:szCs w:val="22"/>
              </w:rPr>
              <w:t xml:space="preserve">В ХМАО-Югре медицинская реабилитация наркологических больных осуществляется как в стационарных, так и в </w:t>
            </w:r>
            <w:r>
              <w:rPr>
                <w:sz w:val="22"/>
                <w:szCs w:val="22"/>
              </w:rPr>
              <w:t xml:space="preserve">амбулаторных условиях.</w:t>
            </w:r>
            <w:r>
              <w:rPr>
                <w:sz w:val="22"/>
                <w:szCs w:val="22"/>
              </w:rPr>
            </w:r>
            <w:r>
              <w:rPr>
                <w:sz w:val="22"/>
                <w:szCs w:val="22"/>
              </w:rPr>
            </w:r>
          </w:p>
          <w:p>
            <w:pPr>
              <w:ind w:firstLine="0"/>
              <w:spacing w:line="235" w:lineRule="auto"/>
              <w:rPr>
                <w:sz w:val="22"/>
                <w:szCs w:val="22"/>
              </w:rPr>
              <w:outlineLvl w:val="1"/>
            </w:pPr>
            <w:r>
              <w:rPr>
                <w:sz w:val="22"/>
                <w:szCs w:val="22"/>
              </w:rPr>
              <w:t xml:space="preserve">Длительность реабилитационной программы в стационарных условиях, составляет: 21 день (краткосрочная), 90 дней (сред</w:t>
            </w:r>
            <w:r>
              <w:rPr>
                <w:sz w:val="22"/>
                <w:szCs w:val="22"/>
              </w:rPr>
              <w:t xml:space="preserve">несрочная),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rPr>
                <w:sz w:val="22"/>
                <w:szCs w:val="22"/>
              </w:rPr>
            </w:r>
            <w:r>
              <w:rPr>
                <w:sz w:val="22"/>
                <w:szCs w:val="22"/>
              </w:rPr>
            </w:r>
          </w:p>
          <w:p>
            <w:pPr>
              <w:ind w:firstLine="0"/>
              <w:spacing w:line="235" w:lineRule="auto"/>
              <w:rPr>
                <w:sz w:val="22"/>
                <w:szCs w:val="22"/>
              </w:rPr>
              <w:outlineLvl w:val="1"/>
            </w:pPr>
            <w:r>
              <w:rPr>
                <w:sz w:val="22"/>
                <w:szCs w:val="22"/>
              </w:rPr>
              <w:t xml:space="preserve">Медицинская реабилитация в стационарных условиях оказывается с учетом принципа «разных потоков».</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6</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w:t>
            </w:r>
            <w:r>
              <w:rPr>
                <w:rFonts w:ascii="Times New Roman" w:hAnsi="Times New Roman" w:cs="Times New Roman"/>
                <w:sz w:val="22"/>
                <w:szCs w:val="22"/>
              </w:rPr>
              <w:t xml:space="preserve">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ПАВ</w:t>
            </w:r>
            <w:r>
              <w:rPr>
                <w:rFonts w:ascii="Times New Roman" w:hAnsi="Times New Roman" w:cs="Times New Roman"/>
                <w:sz w:val="22"/>
                <w:szCs w:val="22"/>
              </w:rPr>
            </w:r>
            <w:r>
              <w:rPr>
                <w:rFonts w:ascii="Times New Roman" w:hAnsi="Times New Roman" w:cs="Times New Roman"/>
                <w:sz w:val="22"/>
                <w:szCs w:val="22"/>
              </w:rPr>
            </w:r>
          </w:p>
        </w:tc>
        <w:tc>
          <w:tcPr>
            <w:shd w:val="clear" w:color="auto" w:fill="auto"/>
            <w:tcW w:w="6138" w:type="dxa"/>
            <w:textDirection w:val="lrTb"/>
            <w:noWrap w:val="false"/>
          </w:tcPr>
          <w:p>
            <w:pPr>
              <w:ind w:firstLine="0"/>
              <w:spacing w:line="235" w:lineRule="auto"/>
              <w:rPr>
                <w:sz w:val="22"/>
                <w:szCs w:val="22"/>
              </w:rPr>
            </w:pPr>
            <w:r>
              <w:rPr>
                <w:bCs/>
                <w:sz w:val="22"/>
                <w:szCs w:val="22"/>
              </w:rPr>
              <w:t xml:space="preserve">По государственной программе ХМАО-Югры «Современное здравоохранение»</w:t>
            </w:r>
            <w:r>
              <w:rPr>
                <w:sz w:val="22"/>
                <w:szCs w:val="22"/>
              </w:rPr>
              <w:t xml:space="preserve"> в 2024</w:t>
            </w:r>
            <w:r>
              <w:rPr>
                <w:sz w:val="22"/>
                <w:szCs w:val="22"/>
              </w:rPr>
              <w:t xml:space="preserve"> году в рамках Комплекса процессных мероприятий 14 «Организация оказания медицинской помощи населению Ханты-Мансийского автономного округа – Югры» реализуются мероприятия по противодействию злоупотреблению наркотиками и их незаконному обороту. Приобретены:</w:t>
            </w:r>
            <w:r>
              <w:rPr>
                <w:sz w:val="22"/>
                <w:szCs w:val="22"/>
              </w:rPr>
            </w:r>
            <w:r>
              <w:rPr>
                <w:sz w:val="22"/>
                <w:szCs w:val="22"/>
              </w:rPr>
            </w:r>
          </w:p>
          <w:p>
            <w:pPr>
              <w:ind w:firstLine="0"/>
              <w:spacing w:line="235" w:lineRule="auto"/>
              <w:rPr>
                <w:sz w:val="22"/>
                <w:szCs w:val="22"/>
              </w:rPr>
            </w:pPr>
            <w:r>
              <w:rPr>
                <w:sz w:val="22"/>
                <w:szCs w:val="22"/>
              </w:rPr>
              <w:t xml:space="preserve">- реагенты медицинские диагностические в количестве 1290 шт., (одноразовая тест-панель погружного типа для определения 12 и 13 видов наркотических веществ и их метаболитов (Амфетамин, Барбитураты, Бензодиазепины, Кокаин, Этил</w:t>
            </w:r>
            <w:r>
              <w:rPr>
                <w:sz w:val="22"/>
                <w:szCs w:val="22"/>
              </w:rPr>
              <w:t xml:space="preserve">глюкуронид, Синтетические каннабиноиды, Метилендиоксиметамфетамин, Катионы, Метамфетамин, Метадон, Опиаты, Фенциклидин, Марихуана), для проведения экспертных исследований в области определения состояний опьянения у лиц, употребивших психоактивные вещества;</w:t>
            </w:r>
            <w:r>
              <w:rPr>
                <w:sz w:val="22"/>
                <w:szCs w:val="22"/>
              </w:rPr>
            </w:r>
            <w:r>
              <w:rPr>
                <w:sz w:val="22"/>
                <w:szCs w:val="22"/>
              </w:rPr>
            </w:r>
          </w:p>
          <w:p>
            <w:pPr>
              <w:ind w:firstLine="0"/>
              <w:spacing w:line="235" w:lineRule="auto"/>
              <w:rPr>
                <w:sz w:val="22"/>
                <w:szCs w:val="22"/>
              </w:rPr>
            </w:pPr>
            <w:r>
              <w:rPr>
                <w:sz w:val="22"/>
                <w:szCs w:val="22"/>
              </w:rPr>
              <w:t xml:space="preserve">- медицинский расходный материал для проведения лабораторных химикотоксикологических исследований (пробирка центрифужная, пипетка виалы, чашки концентрационные) в количестве 30 032 условных единиц.</w:t>
            </w:r>
            <w:r>
              <w:rPr>
                <w:sz w:val="22"/>
                <w:szCs w:val="22"/>
              </w:rPr>
            </w:r>
            <w:r>
              <w:rPr>
                <w:sz w:val="22"/>
                <w:szCs w:val="22"/>
              </w:rPr>
            </w:r>
          </w:p>
          <w:p>
            <w:pPr>
              <w:ind w:firstLine="0"/>
              <w:spacing w:line="235" w:lineRule="auto"/>
              <w:rPr>
                <w:sz w:val="22"/>
                <w:szCs w:val="22"/>
              </w:rPr>
            </w:pPr>
            <w:r>
              <w:rPr>
                <w:sz w:val="22"/>
                <w:szCs w:val="22"/>
              </w:rPr>
              <w:t xml:space="preserve">- расходный материал для медицинского применения для проведения химико-токсикологических исследований (виалы, чашки концентрационные) в количестве 32 упак.</w:t>
            </w:r>
            <w:r>
              <w:rPr>
                <w:sz w:val="22"/>
                <w:szCs w:val="22"/>
              </w:rPr>
            </w:r>
            <w:r>
              <w:rPr>
                <w:sz w:val="22"/>
                <w:szCs w:val="22"/>
              </w:rPr>
            </w:r>
          </w:p>
          <w:p>
            <w:pPr>
              <w:ind w:firstLine="0"/>
              <w:spacing w:line="235" w:lineRule="auto"/>
              <w:tabs>
                <w:tab w:val="left" w:pos="6645" w:leader="none"/>
              </w:tabs>
              <w:rPr>
                <w:sz w:val="22"/>
                <w:szCs w:val="22"/>
              </w:rPr>
            </w:pPr>
            <w:r>
              <w:rPr>
                <w:sz w:val="22"/>
                <w:szCs w:val="22"/>
              </w:rPr>
              <w:t xml:space="preserve">В рамках Комплекса процессных мероприятий 21 «Создание условий для оказания медицинской помощи населению. Укрепление и модернизация мат</w:t>
            </w:r>
            <w:r>
              <w:rPr>
                <w:sz w:val="22"/>
                <w:szCs w:val="22"/>
              </w:rPr>
              <w:t xml:space="preserve">ериально-технической базы медицинских организаций», приобретены: расходный материал (реактивы) для медицинского применения в количестве 2 набора, химические реактивы в количестве 45 шт., расходный материал для медицинского применения в количестве 65 упак. </w:t>
            </w:r>
            <w:r>
              <w:rPr>
                <w:i/>
                <w:sz w:val="22"/>
                <w:szCs w:val="22"/>
              </w:rPr>
              <w:t xml:space="preserve"> </w:t>
            </w:r>
            <w:r>
              <w:rPr>
                <w:sz w:val="22"/>
                <w:szCs w:val="22"/>
              </w:rPr>
              <w:t xml:space="preserve">для проведения химико-токсикологических исследований. </w:t>
            </w:r>
            <w:r>
              <w:rPr>
                <w:sz w:val="22"/>
                <w:szCs w:val="22"/>
              </w:rPr>
            </w:r>
            <w:r>
              <w:rPr>
                <w:sz w:val="22"/>
                <w:szCs w:val="22"/>
              </w:rPr>
            </w:r>
          </w:p>
          <w:p>
            <w:pPr>
              <w:ind w:firstLine="0"/>
              <w:spacing w:line="235" w:lineRule="auto"/>
              <w:rPr>
                <w:sz w:val="22"/>
                <w:szCs w:val="22"/>
              </w:rPr>
            </w:pPr>
            <w:r>
              <w:rPr>
                <w:sz w:val="22"/>
                <w:szCs w:val="22"/>
              </w:rPr>
              <w:t xml:space="preserve">Для проведения медицинского освидетельствования приобретены: медицинский расхо</w:t>
            </w:r>
            <w:r>
              <w:rPr>
                <w:sz w:val="22"/>
                <w:szCs w:val="22"/>
              </w:rPr>
              <w:t xml:space="preserve">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41100 шт.</w:t>
            </w:r>
            <w:r>
              <w:rPr>
                <w:sz w:val="22"/>
                <w:szCs w:val="22"/>
              </w:rPr>
            </w:r>
            <w:r>
              <w:rPr>
                <w:sz w:val="22"/>
                <w:szCs w:val="22"/>
              </w:rPr>
            </w:r>
          </w:p>
          <w:p>
            <w:pPr>
              <w:ind w:firstLine="0"/>
              <w:spacing w:line="235" w:lineRule="auto"/>
              <w:rPr>
                <w:sz w:val="22"/>
                <w:szCs w:val="22"/>
              </w:rPr>
            </w:pPr>
            <w:r>
              <w:rPr>
                <w:sz w:val="22"/>
                <w:szCs w:val="22"/>
              </w:rPr>
              <w:t xml:space="preserve">- </w:t>
            </w:r>
            <w:r>
              <w:rPr>
                <w:sz w:val="22"/>
                <w:szCs w:val="22"/>
              </w:rPr>
              <w:t xml:space="preserve">Приобретено медицинское оборудование в количестве 23 шт., в т.ч.: анализатор содержания алкоголя в выдыхаемом воздухе - 15 шт., портативный электрокардиограф - 4 шт., дефибриллятор - 2 шт., центрифуга лабораторная-1 шт., шкаф вытяжной лабораторный - 1 шт.;</w:t>
            </w:r>
            <w:r>
              <w:rPr>
                <w:sz w:val="22"/>
                <w:szCs w:val="22"/>
              </w:rPr>
            </w:r>
            <w:r>
              <w:rPr>
                <w:sz w:val="22"/>
                <w:szCs w:val="22"/>
              </w:rPr>
            </w:r>
          </w:p>
          <w:p>
            <w:pPr>
              <w:ind w:firstLine="0"/>
              <w:spacing w:line="235" w:lineRule="auto"/>
              <w:rPr>
                <w:sz w:val="22"/>
                <w:szCs w:val="22"/>
              </w:rPr>
              <w:outlineLvl w:val="1"/>
            </w:pPr>
            <w:r>
              <w:rPr>
                <w:sz w:val="22"/>
                <w:szCs w:val="22"/>
              </w:rPr>
              <w:t xml:space="preserve">- Приобретены расходный материал к медицинскому оборудованию в количестве 16 упак., расходный материал к </w:t>
            </w:r>
            <w:r>
              <w:rPr>
                <w:sz w:val="22"/>
                <w:szCs w:val="22"/>
              </w:rPr>
              <w:t xml:space="preserve">медицинскому оборудованию в количестве </w:t>
            </w:r>
            <w:r>
              <w:rPr>
                <w:sz w:val="22"/>
                <w:szCs w:val="22"/>
              </w:rPr>
              <w:t xml:space="preserve">23 шт., запасные части к медицинскому оборудованию в количестве 2 упак., запасные части к медицинскому оборудованию в количестве 2 компл., запасные части к медицинскому оборудованию в количестве 1 шт. (для проведения химико-токсикологических исследований).</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7</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На территории Югры приказом Депздрава Югры от 2.02.2024 № 167 «Об организ</w:t>
            </w:r>
            <w:r>
              <w:rPr>
                <w:sz w:val="22"/>
                <w:szCs w:val="22"/>
              </w:rPr>
              <w:t xml:space="preserve">ации оказания наркологической помощи и проведения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w:t>
            </w:r>
            <w:r>
              <w:rPr>
                <w:sz w:val="22"/>
                <w:szCs w:val="22"/>
              </w:rPr>
              <w:t xml:space="preserve">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w:t>
            </w:r>
            <w:r>
              <w:rPr>
                <w:sz w:val="22"/>
                <w:szCs w:val="22"/>
              </w:rPr>
              <w:t xml:space="preserve"> «психиатрия-наркология» по курируемой зоне ответственности, третий уровень – головное у</w:t>
            </w:r>
            <w:r>
              <w:rPr>
                <w:sz w:val="22"/>
                <w:szCs w:val="22"/>
              </w:rPr>
              <w:t xml:space="preserve">чреждение наркологической службы ХМАО-Югры: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w:t>
            </w:r>
            <w:r>
              <w:rPr>
                <w:sz w:val="22"/>
                <w:szCs w:val="22"/>
              </w:rPr>
              <w:t xml:space="preserve">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8</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Специалисты наркологической службы проходят повышение квалификации и обучение в федеральных центрах, на портале непрерывного медицинского</w:t>
            </w:r>
            <w:r>
              <w:rPr>
                <w:sz w:val="22"/>
                <w:szCs w:val="22"/>
              </w:rPr>
              <w:t xml:space="preserve">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r>
              <w:rPr>
                <w:sz w:val="22"/>
                <w:szCs w:val="22"/>
              </w:rPr>
            </w:r>
            <w:r>
              <w:rPr>
                <w:sz w:val="22"/>
                <w:szCs w:val="22"/>
              </w:rPr>
            </w:r>
          </w:p>
          <w:p>
            <w:pPr>
              <w:ind w:firstLine="0"/>
              <w:spacing w:line="235" w:lineRule="auto"/>
              <w:rPr>
                <w:sz w:val="22"/>
                <w:szCs w:val="22"/>
              </w:rPr>
              <w:outlineLvl w:val="1"/>
            </w:pPr>
            <w:r>
              <w:rPr>
                <w:sz w:val="22"/>
                <w:szCs w:val="22"/>
              </w:rPr>
              <w:t xml:space="preserve">С осени 2023 года по программе целевой подготовки кадров наркологической службы автономного округа начато обучение в ординатуре по специальности «психиатрия-наркология» 2-х специалистов с последующим трудоустройством в 2025 году.</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9</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w:t>
            </w:r>
            <w:r>
              <w:rPr>
                <w:rFonts w:ascii="Times New Roman" w:hAnsi="Times New Roman" w:cs="Times New Roman"/>
                <w:sz w:val="22"/>
                <w:szCs w:val="22"/>
              </w:rPr>
              <w:t xml:space="preserve">оказывающие медицинскую помощь по профилю "психиатрия-наркология"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По окончанию ординатуры по специальности «психиатрия-наркология», врачи-специалисты трудоустраиваются в медицинские организации ХМАО-Югры.</w:t>
            </w:r>
            <w:r>
              <w:rPr>
                <w:sz w:val="22"/>
                <w:szCs w:val="22"/>
              </w:rPr>
            </w:r>
            <w:r>
              <w:rPr>
                <w:sz w:val="22"/>
                <w:szCs w:val="22"/>
              </w:rPr>
            </w:r>
          </w:p>
          <w:p>
            <w:pPr>
              <w:pStyle w:val="1683"/>
              <w:jc w:val="both"/>
              <w:spacing w:line="235" w:lineRule="auto"/>
              <w:rPr>
                <w:rFonts w:ascii="Times New Roman" w:hAnsi="Times New Roman" w:cs="Times New Roman"/>
              </w:rPr>
            </w:pPr>
            <w:r>
              <w:rPr>
                <w:rFonts w:ascii="Times New Roman" w:hAnsi="Times New Roman" w:cs="Times New Roman"/>
              </w:rPr>
              <w:t xml:space="preserve">Три ординатора второго года обучения трудоустроены в 2024 году по должности «врач-стажер» в БУ «Сургутская клиническая психоневрологическая больница».</w:t>
            </w:r>
            <w:r>
              <w:rPr>
                <w:rFonts w:ascii="Times New Roman" w:hAnsi="Times New Roman" w:cs="Times New Roman"/>
              </w:rPr>
            </w:r>
            <w:r>
              <w:rPr>
                <w:rFonts w:ascii="Times New Roman" w:hAnsi="Times New Roman" w:cs="Times New Roman"/>
              </w:rPr>
            </w:r>
          </w:p>
          <w:p>
            <w:pPr>
              <w:pStyle w:val="1683"/>
              <w:jc w:val="both"/>
              <w:spacing w:line="235" w:lineRule="auto"/>
              <w:rPr>
                <w:rFonts w:ascii="Times New Roman" w:hAnsi="Times New Roman" w:cs="Times New Roman"/>
              </w:rPr>
            </w:pPr>
            <w:r>
              <w:rPr>
                <w:rFonts w:ascii="Times New Roman" w:hAnsi="Times New Roman" w:cs="Times New Roman"/>
              </w:rPr>
              <w:t xml:space="preserve">Кроме того, за 2024 год трудоустроено 15 медицинских сестер в наркологические подразделения медицинских организаций.</w:t>
            </w:r>
            <w:r>
              <w:rPr>
                <w:rFonts w:ascii="Times New Roman" w:hAnsi="Times New Roman" w:cs="Times New Roman"/>
              </w:rPr>
            </w:r>
            <w:r>
              <w:rPr>
                <w:rFonts w:ascii="Times New Roman" w:hAnsi="Times New Roman" w:cs="Times New Roman"/>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10</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w:t>
            </w:r>
            <w:r>
              <w:rPr>
                <w:sz w:val="22"/>
                <w:szCs w:val="22"/>
              </w:rPr>
              <w:t xml:space="preserve">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11</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w:t>
            </w:r>
            <w:r>
              <w:rPr>
                <w:sz w:val="22"/>
                <w:szCs w:val="22"/>
              </w:rPr>
              <w:t xml:space="preserve">ВИЧ-инфицированных</w:t>
            </w:r>
            <w:r>
              <w:rPr>
                <w:sz w:val="22"/>
                <w:szCs w:val="22"/>
              </w:rPr>
              <w:t xml:space="preserve">.</w:t>
            </w:r>
            <w:r>
              <w:rPr>
                <w:sz w:val="22"/>
                <w:szCs w:val="22"/>
              </w:rPr>
            </w:r>
            <w:r>
              <w:rPr>
                <w:sz w:val="22"/>
                <w:szCs w:val="22"/>
              </w:rPr>
            </w:r>
          </w:p>
          <w:p>
            <w:pPr>
              <w:ind w:firstLine="0"/>
              <w:spacing w:line="235" w:lineRule="auto"/>
              <w:rPr>
                <w:sz w:val="22"/>
                <w:szCs w:val="22"/>
              </w:rPr>
            </w:pPr>
            <w:r>
              <w:rPr>
                <w:sz w:val="22"/>
                <w:szCs w:val="22"/>
              </w:rPr>
              <w:t xml:space="preserve">Профилактическая работа </w:t>
            </w:r>
            <w:r>
              <w:rPr>
                <w:sz w:val="22"/>
                <w:szCs w:val="22"/>
              </w:rPr>
              <w:t xml:space="preserve">со</w:t>
            </w:r>
            <w:r>
              <w:rPr>
                <w:sz w:val="22"/>
                <w:szCs w:val="22"/>
              </w:rPr>
              <w:t xml:space="preserve"> взрослым населением, в том числе с группой повышенного риска (ПИН/ПАВ), осуществляется по следующим темам: </w:t>
            </w:r>
            <w:r>
              <w:rPr>
                <w:sz w:val="22"/>
                <w:szCs w:val="22"/>
              </w:rPr>
            </w:r>
            <w:r>
              <w:rPr>
                <w:sz w:val="22"/>
                <w:szCs w:val="22"/>
              </w:rPr>
            </w:r>
          </w:p>
          <w:p>
            <w:pPr>
              <w:ind w:firstLine="0"/>
              <w:spacing w:line="235" w:lineRule="auto"/>
              <w:rPr>
                <w:sz w:val="22"/>
                <w:szCs w:val="22"/>
              </w:rPr>
            </w:pPr>
            <w:r>
              <w:rPr>
                <w:sz w:val="22"/>
                <w:szCs w:val="22"/>
              </w:rPr>
              <w:t xml:space="preserve">1. «Профилактика ВИЧ» для трудовых коллективов, родителей, мигрантов, осужденных, потребителей ПАВ, ПИН.  </w:t>
            </w:r>
            <w:r>
              <w:rPr>
                <w:sz w:val="22"/>
                <w:szCs w:val="22"/>
              </w:rPr>
            </w:r>
            <w:r>
              <w:rPr>
                <w:sz w:val="22"/>
                <w:szCs w:val="22"/>
              </w:rPr>
            </w:r>
          </w:p>
          <w:p>
            <w:pPr>
              <w:ind w:firstLine="0"/>
              <w:spacing w:line="235" w:lineRule="auto"/>
              <w:rPr>
                <w:sz w:val="22"/>
                <w:szCs w:val="22"/>
              </w:rPr>
            </w:pPr>
            <w:r>
              <w:rPr>
                <w:sz w:val="22"/>
                <w:szCs w:val="22"/>
              </w:rPr>
              <w:t xml:space="preserve">2. «На страже своего здоровья» для призывников и военнослужащих. </w:t>
            </w:r>
            <w:r>
              <w:rPr>
                <w:sz w:val="22"/>
                <w:szCs w:val="22"/>
              </w:rPr>
            </w:r>
            <w:r>
              <w:rPr>
                <w:sz w:val="22"/>
                <w:szCs w:val="22"/>
              </w:rPr>
            </w:r>
          </w:p>
          <w:p>
            <w:pPr>
              <w:ind w:firstLine="0"/>
              <w:spacing w:line="235" w:lineRule="auto"/>
              <w:rPr>
                <w:sz w:val="22"/>
                <w:szCs w:val="22"/>
              </w:rPr>
            </w:pPr>
            <w:r>
              <w:rPr>
                <w:sz w:val="22"/>
                <w:szCs w:val="22"/>
              </w:rPr>
              <w:t xml:space="preserve">3. «Защити своего ребенка» для беременных, обратившихся в женские консультации. </w:t>
            </w:r>
            <w:r>
              <w:rPr>
                <w:sz w:val="22"/>
                <w:szCs w:val="22"/>
              </w:rPr>
            </w:r>
            <w:r>
              <w:rPr>
                <w:sz w:val="22"/>
                <w:szCs w:val="22"/>
              </w:rPr>
            </w:r>
          </w:p>
          <w:p>
            <w:pPr>
              <w:ind w:firstLine="0"/>
              <w:spacing w:line="235" w:lineRule="auto"/>
              <w:rPr>
                <w:sz w:val="22"/>
                <w:szCs w:val="22"/>
              </w:rPr>
            </w:pPr>
            <w:r>
              <w:rPr>
                <w:sz w:val="22"/>
                <w:szCs w:val="22"/>
              </w:rPr>
              <w:t xml:space="preserve">За 2024 год проведено 1148 профилактических мероприятий </w:t>
            </w:r>
            <w:r>
              <w:rPr>
                <w:sz w:val="22"/>
                <w:szCs w:val="22"/>
              </w:rPr>
              <w:t xml:space="preserve">со</w:t>
            </w:r>
            <w:r>
              <w:rPr>
                <w:sz w:val="22"/>
                <w:szCs w:val="22"/>
              </w:rPr>
              <w:t xml:space="preserve"> взрослым населением, в том числе с группой повышенного риска (ПИН/ПАВ), количество участников 42010 человек, в 2023 году – 1257 мероприятий, число участников  36262.</w:t>
            </w:r>
            <w:r>
              <w:rPr>
                <w:sz w:val="22"/>
                <w:szCs w:val="22"/>
              </w:rPr>
            </w:r>
            <w:r>
              <w:rPr>
                <w:sz w:val="22"/>
                <w:szCs w:val="22"/>
              </w:rPr>
            </w:r>
          </w:p>
          <w:p>
            <w:pPr>
              <w:ind w:firstLine="0"/>
              <w:spacing w:line="235" w:lineRule="auto"/>
              <w:tabs>
                <w:tab w:val="left" w:pos="283" w:leader="none"/>
              </w:tabs>
              <w:rPr>
                <w:sz w:val="22"/>
                <w:szCs w:val="22"/>
              </w:rPr>
            </w:pPr>
            <w:r>
              <w:rPr>
                <w:sz w:val="22"/>
                <w:szCs w:val="22"/>
              </w:rPr>
              <w:t xml:space="preserve">Проведено в 2024 году 374 мероприятий с молодежью (учащиеся, студенты), направленных на профилактику инъекционного потребления наркотических веществ как фактор рискованного поведения </w:t>
            </w:r>
            <w:r>
              <w:rPr>
                <w:sz w:val="22"/>
                <w:szCs w:val="22"/>
              </w:rPr>
              <w:t xml:space="preserve">в отношение заражения</w:t>
            </w:r>
            <w:r>
              <w:rPr>
                <w:sz w:val="22"/>
                <w:szCs w:val="22"/>
              </w:rPr>
              <w:t xml:space="preserve"> ВИЧ-инфекцией.  Количество участников 28375 человек. В 2023 году проведено 358 мероприятия, количество участников 26556 человек.</w:t>
            </w:r>
            <w:r>
              <w:rPr>
                <w:sz w:val="22"/>
                <w:szCs w:val="22"/>
              </w:rPr>
            </w:r>
            <w:r>
              <w:rPr>
                <w:sz w:val="22"/>
                <w:szCs w:val="22"/>
              </w:rPr>
            </w:r>
          </w:p>
          <w:p>
            <w:pPr>
              <w:ind w:firstLine="0"/>
              <w:spacing w:line="235" w:lineRule="auto"/>
              <w:rPr>
                <w:sz w:val="22"/>
                <w:szCs w:val="22"/>
              </w:rPr>
            </w:pPr>
            <w:r>
              <w:rPr>
                <w:sz w:val="22"/>
                <w:szCs w:val="22"/>
              </w:rPr>
              <w:t xml:space="preserve">С целью профилактики зависимого поведения для диспансерной группы и повышения приверженности лечению, проведено 131 занятие «Школа пациента», участников 1990 человек.  В 2024 году 126 занятий, 1609 участников.</w:t>
            </w:r>
            <w:r>
              <w:rPr>
                <w:sz w:val="22"/>
                <w:szCs w:val="22"/>
              </w:rPr>
            </w:r>
            <w:r>
              <w:rPr>
                <w:sz w:val="22"/>
                <w:szCs w:val="22"/>
              </w:rPr>
            </w:r>
          </w:p>
          <w:p>
            <w:pPr>
              <w:ind w:firstLine="0"/>
              <w:spacing w:line="235" w:lineRule="auto"/>
              <w:rPr>
                <w:sz w:val="22"/>
                <w:szCs w:val="22"/>
              </w:rPr>
            </w:pPr>
            <w:r>
              <w:rPr>
                <w:sz w:val="22"/>
                <w:szCs w:val="22"/>
              </w:rPr>
              <w:t xml:space="preserve">По итогам 2024 года парентеральный путь инфицирования, связанный с употреблением наркотических веществ, установлен у 35 ВИЧ-инфицированных или 6,5% от всех впервые выявленных случаев ВИЧ-инфекции. </w:t>
            </w:r>
            <w:r>
              <w:rPr>
                <w:sz w:val="22"/>
                <w:szCs w:val="22"/>
              </w:rPr>
            </w:r>
            <w:r>
              <w:rPr>
                <w:sz w:val="22"/>
                <w:szCs w:val="22"/>
              </w:rPr>
            </w:r>
          </w:p>
          <w:p>
            <w:pPr>
              <w:ind w:firstLine="0"/>
              <w:spacing w:line="235" w:lineRule="auto"/>
              <w:rPr>
                <w:sz w:val="22"/>
                <w:szCs w:val="22"/>
              </w:rPr>
            </w:pPr>
            <w:r>
              <w:rPr>
                <w:sz w:val="22"/>
                <w:szCs w:val="22"/>
              </w:rPr>
              <w:t xml:space="preserve">В 2024 году на антитела к ВИЧ (больные с подозрением или </w:t>
            </w:r>
            <w:r>
              <w:rPr>
                <w:sz w:val="22"/>
                <w:szCs w:val="22"/>
              </w:rPr>
              <w:t xml:space="preserve">подтвержденным диагнозом «наркомания») в автономном округе было обследовано 345 человек, случаев выявления ВИЧ – 0 (лица, употребляющие психоактивные вещества) обследовано 4414 человек, выявлено наличие ВИЧ у 18 человек.</w:t>
            </w:r>
            <w:r>
              <w:rPr>
                <w:sz w:val="22"/>
                <w:szCs w:val="22"/>
              </w:rPr>
            </w:r>
            <w:r>
              <w:rPr>
                <w:sz w:val="22"/>
                <w:szCs w:val="22"/>
              </w:rPr>
            </w:r>
          </w:p>
          <w:p>
            <w:pPr>
              <w:ind w:firstLine="0"/>
              <w:spacing w:line="235" w:lineRule="auto"/>
              <w:rPr>
                <w:sz w:val="22"/>
                <w:szCs w:val="22"/>
              </w:rPr>
            </w:pPr>
            <w:r>
              <w:rPr>
                <w:sz w:val="22"/>
                <w:szCs w:val="22"/>
              </w:rPr>
              <w:t xml:space="preserve">Обеспечивается деятельность (оказания услуг, выполнения работ) государственных учреждений по профилю деятельности.</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12</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рамках реализац</w:t>
            </w:r>
            <w:r>
              <w:rPr>
                <w:sz w:val="22"/>
                <w:szCs w:val="22"/>
              </w:rPr>
              <w:t xml:space="preserve">ии мероприятий государственной программы Ханты-Мансийского автономного округа – Югры «Современное здравоохранение» Депздравом Югры проводится работа с привлечением социально ориентированных негосударственных коммерческих организаций к оказанию медицинской </w:t>
            </w:r>
            <w:r>
              <w:rPr>
                <w:sz w:val="22"/>
                <w:szCs w:val="22"/>
              </w:rPr>
              <w:t xml:space="preserve">помощи</w:t>
            </w:r>
            <w:r>
              <w:rPr>
                <w:sz w:val="22"/>
                <w:szCs w:val="22"/>
              </w:rPr>
              <w:t xml:space="preserve"> в том числе по проекту «профилактика незаконного потребления наркотических средств и психотропных веществ, наркомании».</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13</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профилактической направленности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Приобретены медицинские диагностические реагенты, в количестве 1290 шт., (одноразовая тест-панель погружного типа для определения 12 и 13 видов наркотических веществ и их метаболитов (Амфетамин, Барбитураты, Бензодиазепины, Кокаин, Этил</w:t>
            </w:r>
            <w:r>
              <w:rPr>
                <w:sz w:val="22"/>
                <w:szCs w:val="22"/>
              </w:rPr>
              <w:t xml:space="preserve">глюкуронид, Синтетические каннабиноиды, Метилендиоксиметамфетамин, Катионы, Метамфетамин, Метадон, Опиаты, Фенциклидин, Марихуана), для проведения экспертных исследований в области определения состояний опьянения у лиц, употребивших психоактивные вещества.</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14</w:t>
            </w:r>
            <w:r>
              <w:rPr>
                <w:sz w:val="22"/>
                <w:szCs w:val="22"/>
              </w:rPr>
            </w:r>
            <w:r>
              <w:rPr>
                <w:sz w:val="22"/>
                <w:szCs w:val="22"/>
              </w:rPr>
            </w:r>
          </w:p>
        </w:tc>
        <w:tc>
          <w:tcPr>
            <w:tcW w:w="2780" w:type="dxa"/>
            <w:textDirection w:val="lrTb"/>
            <w:noWrap w:val="false"/>
          </w:tcPr>
          <w:p>
            <w:pPr>
              <w:pStyle w:val="1649"/>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2024 году в автономном округе услуги 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w:t>
            </w:r>
            <w:r>
              <w:rPr>
                <w:sz w:val="22"/>
                <w:szCs w:val="22"/>
              </w:rPr>
              <w:br/>
              <w:t xml:space="preserve">от зависимости, (далее – услуги по социальной реабилитации) предоставляли 4 негосударственных поставщика социальных услуг:</w:t>
            </w:r>
            <w:r>
              <w:rPr>
                <w:sz w:val="22"/>
                <w:szCs w:val="22"/>
              </w:rPr>
            </w:r>
            <w:r>
              <w:rPr>
                <w:sz w:val="22"/>
                <w:szCs w:val="22"/>
              </w:rPr>
            </w:r>
          </w:p>
          <w:p>
            <w:pPr>
              <w:ind w:firstLine="0"/>
              <w:spacing w:line="235" w:lineRule="auto"/>
              <w:rPr>
                <w:sz w:val="22"/>
                <w:szCs w:val="22"/>
              </w:rPr>
              <w:outlineLvl w:val="1"/>
            </w:pPr>
            <w:r>
              <w:rPr>
                <w:sz w:val="22"/>
                <w:szCs w:val="22"/>
              </w:rPr>
              <w:t xml:space="preserve">- РОО</w:t>
            </w:r>
            <w:r>
              <w:rPr>
                <w:sz w:val="22"/>
                <w:szCs w:val="22"/>
              </w:rPr>
              <w:t xml:space="preserve"> организация по профилактике и реабилитации лиц, страдающих заболеваниями наркоманией и алкоголизмом «Чистый путь» , г</w:t>
            </w:r>
            <w:r>
              <w:rPr>
                <w:sz w:val="22"/>
                <w:szCs w:val="22"/>
              </w:rPr>
              <w:t xml:space="preserve">.С</w:t>
            </w:r>
            <w:r>
              <w:rPr>
                <w:sz w:val="22"/>
                <w:szCs w:val="22"/>
              </w:rPr>
              <w:t xml:space="preserve">ургут;</w:t>
            </w:r>
            <w:r>
              <w:rPr>
                <w:sz w:val="22"/>
                <w:szCs w:val="22"/>
              </w:rPr>
            </w:r>
            <w:r>
              <w:rPr>
                <w:sz w:val="22"/>
                <w:szCs w:val="22"/>
              </w:rPr>
            </w:r>
          </w:p>
          <w:p>
            <w:pPr>
              <w:contextualSpacing/>
              <w:ind w:firstLine="0"/>
              <w:spacing w:line="235" w:lineRule="auto"/>
              <w:rPr>
                <w:sz w:val="22"/>
                <w:szCs w:val="22"/>
              </w:rPr>
            </w:pPr>
            <w:r>
              <w:rPr>
                <w:sz w:val="22"/>
                <w:szCs w:val="22"/>
              </w:rPr>
              <w:t xml:space="preserve">- АНО</w:t>
            </w:r>
            <w:r>
              <w:rPr>
                <w:sz w:val="22"/>
                <w:szCs w:val="22"/>
              </w:rPr>
              <w:t xml:space="preserve"> «Центр социальной реабилитации «Феникс», г</w:t>
            </w:r>
            <w:r>
              <w:rPr>
                <w:sz w:val="22"/>
                <w:szCs w:val="22"/>
              </w:rPr>
              <w:t xml:space="preserve">.Н</w:t>
            </w:r>
            <w:r>
              <w:rPr>
                <w:sz w:val="22"/>
                <w:szCs w:val="22"/>
              </w:rPr>
              <w:t xml:space="preserve">ижневартовск;</w:t>
            </w:r>
            <w:r>
              <w:rPr>
                <w:sz w:val="22"/>
                <w:szCs w:val="22"/>
              </w:rPr>
            </w:r>
            <w:r>
              <w:rPr>
                <w:sz w:val="22"/>
                <w:szCs w:val="22"/>
              </w:rPr>
            </w:r>
          </w:p>
          <w:p>
            <w:pPr>
              <w:contextualSpacing/>
              <w:ind w:firstLine="0"/>
              <w:spacing w:line="235" w:lineRule="auto"/>
              <w:rPr>
                <w:sz w:val="22"/>
                <w:szCs w:val="22"/>
              </w:rPr>
            </w:pPr>
            <w:r>
              <w:rPr>
                <w:sz w:val="22"/>
                <w:szCs w:val="22"/>
              </w:rPr>
              <w:t xml:space="preserve">- </w:t>
            </w:r>
            <w:r>
              <w:rPr>
                <w:sz w:val="22"/>
                <w:szCs w:val="22"/>
              </w:rPr>
              <w:t xml:space="preserve">региональная благотворительная общественная организация социальной адаптации граждан «Фавор» ХМАО-Югры, г</w:t>
            </w:r>
            <w:r>
              <w:rPr>
                <w:sz w:val="22"/>
                <w:szCs w:val="22"/>
              </w:rPr>
              <w:t xml:space="preserve">.Х</w:t>
            </w:r>
            <w:r>
              <w:rPr>
                <w:sz w:val="22"/>
                <w:szCs w:val="22"/>
              </w:rPr>
              <w:t xml:space="preserve">анты-Мансийск;</w:t>
            </w:r>
            <w:r>
              <w:rPr>
                <w:sz w:val="22"/>
                <w:szCs w:val="22"/>
              </w:rPr>
            </w:r>
            <w:r>
              <w:rPr>
                <w:sz w:val="22"/>
                <w:szCs w:val="22"/>
              </w:rPr>
            </w:r>
          </w:p>
          <w:p>
            <w:pPr>
              <w:pStyle w:val="1652"/>
              <w:ind w:left="0" w:firstLine="0"/>
              <w:spacing w:line="235" w:lineRule="auto"/>
              <w:rPr>
                <w:sz w:val="22"/>
                <w:szCs w:val="22"/>
              </w:rPr>
            </w:pPr>
            <w:r>
              <w:rPr>
                <w:sz w:val="22"/>
                <w:szCs w:val="22"/>
              </w:rPr>
              <w:t xml:space="preserve">- </w:t>
            </w:r>
            <w:r>
              <w:rPr>
                <w:sz w:val="22"/>
                <w:szCs w:val="22"/>
              </w:rPr>
              <w:t xml:space="preserve">благотворительный Фонд социальной и духовной помощи «Вефиль», г</w:t>
            </w:r>
            <w:r>
              <w:rPr>
                <w:sz w:val="22"/>
                <w:szCs w:val="22"/>
              </w:rPr>
              <w:t xml:space="preserve">.Ю</w:t>
            </w:r>
            <w:r>
              <w:rPr>
                <w:sz w:val="22"/>
                <w:szCs w:val="22"/>
              </w:rPr>
              <w:t xml:space="preserve">горск.</w:t>
            </w:r>
            <w:r>
              <w:rPr>
                <w:sz w:val="22"/>
                <w:szCs w:val="22"/>
              </w:rPr>
            </w:r>
            <w:r>
              <w:rPr>
                <w:sz w:val="22"/>
                <w:szCs w:val="22"/>
              </w:rPr>
            </w:r>
          </w:p>
          <w:p>
            <w:pPr>
              <w:pStyle w:val="1652"/>
              <w:ind w:left="0" w:firstLine="0"/>
              <w:spacing w:line="235" w:lineRule="auto"/>
              <w:rPr>
                <w:sz w:val="22"/>
                <w:szCs w:val="22"/>
              </w:rPr>
            </w:pPr>
            <w:r>
              <w:rPr>
                <w:sz w:val="22"/>
                <w:szCs w:val="22"/>
              </w:rPr>
              <w:t xml:space="preserve">Услуги по социальной реабилитации в рамках сертификатов </w:t>
            </w:r>
            <w:r>
              <w:rPr>
                <w:sz w:val="22"/>
                <w:szCs w:val="22"/>
              </w:rPr>
              <w:t xml:space="preserve">указанными</w:t>
            </w:r>
            <w:r>
              <w:rPr>
                <w:sz w:val="22"/>
                <w:szCs w:val="22"/>
              </w:rPr>
              <w:t xml:space="preserve"> негосударственными органнизациями в 2024 году предоставлены 32 гражданам целевой категории. Объем финансирования реализации сертификатов составил 4 866,2 тыс</w:t>
            </w:r>
            <w:r>
              <w:rPr>
                <w:sz w:val="22"/>
                <w:szCs w:val="22"/>
              </w:rPr>
              <w:t xml:space="preserve">.р</w:t>
            </w:r>
            <w:r>
              <w:rPr>
                <w:sz w:val="22"/>
                <w:szCs w:val="22"/>
              </w:rPr>
              <w:t xml:space="preserve">уб.</w:t>
            </w:r>
            <w:r>
              <w:rPr>
                <w:sz w:val="22"/>
                <w:szCs w:val="22"/>
              </w:rPr>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15</w:t>
            </w:r>
            <w:r>
              <w:rPr>
                <w:sz w:val="22"/>
                <w:szCs w:val="22"/>
              </w:rPr>
            </w:r>
            <w:r>
              <w:rPr>
                <w:sz w:val="22"/>
                <w:szCs w:val="22"/>
              </w:rPr>
            </w:r>
          </w:p>
        </w:tc>
        <w:tc>
          <w:tcPr>
            <w:tcW w:w="2780" w:type="dxa"/>
            <w:textDirection w:val="lrTb"/>
            <w:noWrap w:val="false"/>
          </w:tcPr>
          <w:p>
            <w:pPr>
              <w:pStyle w:val="1649"/>
              <w:ind w:firstLine="0"/>
              <w:jc w:val="both"/>
              <w:spacing w:line="235" w:lineRule="auto"/>
              <w:rPr>
                <w:rFonts w:ascii="Times New Roman" w:hAnsi="Times New Roman" w:cs="Times New Roman"/>
                <w:sz w:val="22"/>
                <w:szCs w:val="22"/>
              </w:rPr>
            </w:pPr>
            <w:r>
              <w:rPr>
                <w:rFonts w:ascii="Times New Roman" w:hAnsi="Times New Roman" w:cs="Times New Roman"/>
                <w:sz w:val="22"/>
                <w:szCs w:val="22"/>
              </w:rPr>
              <w:t xml:space="preserve">Предоставление компенсации поставщикам социальных услуг, занимающимся вопросами комплексной реабилитации и ресоциализации наркопотребителей</w:t>
            </w:r>
            <w:r>
              <w:rPr>
                <w:rFonts w:ascii="Times New Roman" w:hAnsi="Times New Roman" w:cs="Times New Roman"/>
                <w:sz w:val="22"/>
                <w:szCs w:val="22"/>
              </w:rPr>
            </w:r>
            <w:r>
              <w:rPr>
                <w:rFonts w:ascii="Times New Roman" w:hAnsi="Times New Roman" w:cs="Times New Roman"/>
                <w:sz w:val="22"/>
                <w:szCs w:val="22"/>
              </w:rPr>
            </w:r>
          </w:p>
        </w:tc>
        <w:tc>
          <w:tcPr>
            <w:tcW w:w="6138" w:type="dxa"/>
            <w:textDirection w:val="lrTb"/>
            <w:noWrap w:val="false"/>
          </w:tcPr>
          <w:p>
            <w:pPr>
              <w:contextualSpacing/>
              <w:ind w:firstLine="0"/>
              <w:spacing w:line="235" w:lineRule="auto"/>
              <w:rPr>
                <w:sz w:val="22"/>
                <w:szCs w:val="22"/>
              </w:rPr>
              <w:outlineLvl w:val="1"/>
            </w:pPr>
            <w:r>
              <w:rPr>
                <w:sz w:val="22"/>
                <w:szCs w:val="22"/>
              </w:rPr>
              <w:t xml:space="preserve">В 2024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 xml:space="preserve">РОО «Чистый путь» в объеме 3 505,1 тыс</w:t>
            </w:r>
            <w:r>
              <w:rPr>
                <w:sz w:val="22"/>
                <w:szCs w:val="22"/>
              </w:rPr>
              <w:t xml:space="preserve">.р</w:t>
            </w:r>
            <w:r>
              <w:rPr>
                <w:sz w:val="22"/>
                <w:szCs w:val="22"/>
              </w:rPr>
              <w:t xml:space="preserve">уб.</w:t>
            </w:r>
            <w:r>
              <w:rPr>
                <w:sz w:val="22"/>
                <w:szCs w:val="22"/>
              </w:rPr>
            </w:r>
            <w:r>
              <w:rPr>
                <w:sz w:val="22"/>
                <w:szCs w:val="22"/>
              </w:rPr>
            </w:r>
          </w:p>
          <w:p>
            <w:pPr>
              <w:contextualSpacing/>
              <w:ind w:firstLine="0"/>
              <w:spacing w:line="235" w:lineRule="auto"/>
              <w:rPr>
                <w:sz w:val="22"/>
                <w:szCs w:val="22"/>
              </w:rPr>
              <w:outlineLvl w:val="1"/>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 xml:space="preserve">по социальной реабилитации, в объеме 7 483,1 тыс</w:t>
            </w:r>
            <w:r>
              <w:rPr>
                <w:sz w:val="22"/>
                <w:szCs w:val="22"/>
              </w:rPr>
              <w:t xml:space="preserve">.р</w:t>
            </w:r>
            <w:r>
              <w:rPr>
                <w:sz w:val="22"/>
                <w:szCs w:val="22"/>
              </w:rPr>
              <w:t xml:space="preserve">уб.</w:t>
            </w:r>
            <w:r>
              <w:rPr>
                <w:sz w:val="22"/>
                <w:szCs w:val="22"/>
              </w:rPr>
            </w:r>
            <w:r>
              <w:rPr>
                <w:sz w:val="22"/>
                <w:szCs w:val="22"/>
              </w:rPr>
            </w:r>
          </w:p>
        </w:tc>
      </w:tr>
    </w:tbl>
    <w:p>
      <w:pPr>
        <w:ind w:firstLine="0"/>
        <w:spacing w:line="240" w:lineRule="auto"/>
        <w:tabs>
          <w:tab w:val="left" w:pos="540" w:leader="none"/>
        </w:tabs>
        <w:rPr>
          <w:sz w:val="22"/>
          <w:szCs w:val="22"/>
        </w:rPr>
      </w:pPr>
      <w:r>
        <w:rPr>
          <w:sz w:val="22"/>
          <w:szCs w:val="22"/>
        </w:rPr>
      </w:r>
      <w:r>
        <w:rPr>
          <w:sz w:val="22"/>
          <w:szCs w:val="22"/>
        </w:rPr>
      </w:r>
      <w:r>
        <w:rPr>
          <w:sz w:val="22"/>
          <w:szCs w:val="22"/>
        </w:rPr>
      </w:r>
    </w:p>
    <w:p>
      <w:pPr>
        <w:ind w:firstLine="709"/>
        <w:spacing w:line="240" w:lineRule="auto"/>
        <w:tabs>
          <w:tab w:val="left" w:pos="540" w:leader="none"/>
        </w:tabs>
      </w:pPr>
      <w:r/>
      <w:r/>
    </w:p>
    <w:p>
      <w:pPr>
        <w:ind w:firstLine="709"/>
        <w:spacing w:line="276" w:lineRule="auto"/>
        <w:rPr>
          <w:rFonts w:eastAsia="Calibri"/>
          <w:b/>
          <w:bCs/>
          <w:i/>
        </w:rPr>
      </w:pPr>
      <w:r>
        <w:rPr>
          <w:rFonts w:eastAsia="Calibri"/>
          <w:b/>
          <w:i/>
          <w:highlight w:val="none"/>
        </w:rPr>
      </w:r>
      <w:r>
        <w:rPr>
          <w:rFonts w:eastAsia="Calibri"/>
          <w:b/>
          <w:bCs/>
          <w:i/>
        </w:rPr>
      </w:r>
      <w:r>
        <w:rPr>
          <w:rFonts w:eastAsia="Calibri"/>
          <w:b/>
          <w:bCs/>
          <w:i/>
        </w:rPr>
      </w:r>
    </w:p>
    <w:p>
      <w:pPr>
        <w:ind w:firstLine="709"/>
        <w:spacing w:line="276" w:lineRule="auto"/>
        <w:rPr>
          <w:rFonts w:eastAsia="Calibri"/>
          <w:b/>
          <w:bCs/>
          <w:i/>
          <w:highlight w:val="none"/>
        </w:rPr>
      </w:pPr>
      <w:r>
        <w:rPr>
          <w:rFonts w:eastAsia="Calibri"/>
          <w:b/>
          <w:i/>
        </w:rPr>
        <w:t xml:space="preserve">4. «Сокращение количества преступлений и правонарушений, связанных с </w:t>
      </w:r>
      <w:r>
        <w:rPr>
          <w:rFonts w:eastAsia="Calibri"/>
          <w:b/>
          <w:i/>
        </w:rPr>
        <w:t xml:space="preserve">незаконным оборотом наркотиков»</w:t>
      </w:r>
      <w:r>
        <w:rPr>
          <w:rFonts w:eastAsia="Calibri"/>
          <w:b/>
          <w:bCs/>
          <w:i/>
          <w:highlight w:val="none"/>
        </w:rPr>
      </w:r>
      <w:r>
        <w:rPr>
          <w:rFonts w:eastAsia="Calibri"/>
          <w:b/>
          <w:bCs/>
          <w:i/>
          <w:highlight w:val="none"/>
        </w:rPr>
      </w:r>
    </w:p>
    <w:p>
      <w:pPr>
        <w:ind w:firstLine="709"/>
        <w:spacing w:line="276" w:lineRule="auto"/>
      </w:pPr>
      <w:r>
        <w:t xml:space="preserve">Задачи, решаемые в этом приоритетном направлении:</w:t>
      </w:r>
      <w:r/>
    </w:p>
    <w:p>
      <w:pPr>
        <w:ind w:left="0" w:right="0" w:firstLine="709"/>
        <w:spacing w:line="276" w:lineRule="auto"/>
        <w:rPr>
          <w:rFonts w:eastAsia="Calibri"/>
        </w:rPr>
      </w:pPr>
      <w:r>
        <w:rPr>
          <w:rFonts w:eastAsia="Calibri"/>
        </w:rPr>
        <w:t xml:space="preserve">снижение уровня рецидивной преступности в сфере незаконного оборота наркотиков;</w:t>
      </w:r>
      <w:r>
        <w:rPr>
          <w:rFonts w:eastAsia="Calibri"/>
        </w:rPr>
      </w:r>
      <w:r>
        <w:rPr>
          <w:rFonts w:eastAsia="Calibri"/>
        </w:rPr>
      </w:r>
    </w:p>
    <w:p>
      <w:pPr>
        <w:ind w:left="0" w:right="0" w:firstLine="709"/>
        <w:spacing w:line="276" w:lineRule="auto"/>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r>
        <w:rPr>
          <w:rFonts w:eastAsia="Calibri"/>
        </w:rPr>
      </w:r>
      <w:r>
        <w:rPr>
          <w:rFonts w:eastAsia="Calibri"/>
        </w:rPr>
      </w:r>
    </w:p>
    <w:p>
      <w:pPr>
        <w:pStyle w:val="1652"/>
        <w:ind w:left="0" w:right="0" w:firstLine="709"/>
        <w:spacing w:line="276" w:lineRule="auto"/>
        <w:widowControl w:val="off"/>
      </w:pPr>
      <w:r>
        <w:t xml:space="preserve">Меры, обеспечивающие решение указанных задач:</w:t>
      </w:r>
      <w:r/>
    </w:p>
    <w:p>
      <w:pPr>
        <w:ind w:left="0" w:right="0" w:firstLine="709"/>
        <w:spacing w:line="276" w:lineRule="auto"/>
        <w:rPr>
          <w:rFonts w:eastAsia="Calibri"/>
        </w:rPr>
      </w:pPr>
      <w:r>
        <w:rPr>
          <w:rFonts w:eastAsia="Calibri"/>
        </w:rPr>
        <w:t xml:space="preserve">создание условий для медицинской и социальной реабилитации наркопотребителей, включая лиц, освободившихся из мест лишения свободы;</w:t>
      </w:r>
      <w:r>
        <w:rPr>
          <w:rFonts w:eastAsia="Calibri"/>
        </w:rPr>
      </w:r>
      <w:r>
        <w:rPr>
          <w:rFonts w:eastAsia="Calibri"/>
        </w:rPr>
      </w:r>
    </w:p>
    <w:p>
      <w:pPr>
        <w:ind w:left="0" w:right="0" w:firstLine="709"/>
        <w:spacing w:line="276" w:lineRule="auto"/>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 xml:space="preserve">и распространения наркотиков;</w:t>
      </w:r>
      <w:r>
        <w:rPr>
          <w:rFonts w:eastAsia="Calibri"/>
        </w:rPr>
      </w:r>
      <w:r>
        <w:rPr>
          <w:rFonts w:eastAsia="Calibri"/>
        </w:rPr>
      </w:r>
    </w:p>
    <w:p>
      <w:pPr>
        <w:ind w:left="0" w:right="0" w:firstLine="709"/>
        <w:spacing w:line="276" w:lineRule="auto"/>
        <w:rPr>
          <w:rFonts w:eastAsia="Calibri"/>
        </w:rPr>
      </w:pPr>
      <w:r>
        <w:rPr>
          <w:rFonts w:eastAsia="Calibri"/>
        </w:rPr>
        <w:t xml:space="preserve">антинаркотическая пропаганда и информационное </w:t>
      </w:r>
      <w:r>
        <w:rPr>
          <w:rFonts w:eastAsia="Calibri"/>
        </w:rPr>
        <w:t xml:space="preserve">сопровождение деятельности правоохранительных органов по противодействию незаконному обороту наркотиков.</w:t>
      </w:r>
      <w:r>
        <w:rPr>
          <w:rFonts w:eastAsia="Calibri"/>
        </w:rPr>
      </w:r>
      <w:r>
        <w:rPr>
          <w:rFonts w:eastAsia="Calibri"/>
        </w:rPr>
      </w:r>
    </w:p>
    <w:p>
      <w:pPr>
        <w:ind w:firstLine="709"/>
        <w:spacing w:line="240" w:lineRule="auto"/>
        <w:tabs>
          <w:tab w:val="left" w:pos="540" w:leader="none"/>
        </w:tabs>
      </w:pPr>
      <w:r>
        <w:t xml:space="preserve">Информация о реализации указанного приоритетного направления:</w:t>
      </w:r>
      <w:r/>
    </w:p>
    <w:p>
      <w:pPr>
        <w:ind w:firstLine="709"/>
        <w:spacing w:line="240" w:lineRule="auto"/>
        <w:tabs>
          <w:tab w:val="left" w:pos="540" w:leader="none"/>
        </w:tabs>
      </w:pPr>
      <w:r/>
      <w:r/>
    </w:p>
    <w:tbl>
      <w:tblPr>
        <w:tblStyle w:val="1651"/>
        <w:tblW w:w="0" w:type="auto"/>
        <w:tblLook w:val="04A0" w:firstRow="1" w:lastRow="0" w:firstColumn="1" w:lastColumn="0" w:noHBand="0" w:noVBand="1"/>
      </w:tblPr>
      <w:tblGrid>
        <w:gridCol w:w="671"/>
        <w:gridCol w:w="2839"/>
        <w:gridCol w:w="5919"/>
      </w:tblGrid>
      <w:tr>
        <w:trPr>
          <w:tblHeader/>
        </w:trPr>
        <w:tc>
          <w:tcPr>
            <w:tcW w:w="671" w:type="dxa"/>
            <w:vAlign w:val="center"/>
            <w:textDirection w:val="lrTb"/>
            <w:noWrap w:val="false"/>
          </w:tcPr>
          <w:p>
            <w:pPr>
              <w:ind w:firstLine="0"/>
              <w:jc w:val="center"/>
              <w:spacing w:line="238" w:lineRule="auto"/>
              <w:rPr>
                <w:sz w:val="22"/>
                <w:szCs w:val="22"/>
              </w:rPr>
            </w:pPr>
            <w:r>
              <w:rPr>
                <w:sz w:val="22"/>
                <w:szCs w:val="22"/>
              </w:rPr>
              <w:t xml:space="preserve">№ </w:t>
            </w:r>
            <w:r>
              <w:rPr>
                <w:sz w:val="22"/>
                <w:szCs w:val="22"/>
              </w:rPr>
              <w:t xml:space="preserve">п</w:t>
            </w:r>
            <w:r>
              <w:rPr>
                <w:sz w:val="22"/>
                <w:szCs w:val="22"/>
              </w:rPr>
              <w:t xml:space="preserve">/п</w:t>
            </w:r>
            <w:r>
              <w:rPr>
                <w:sz w:val="22"/>
                <w:szCs w:val="22"/>
              </w:rPr>
            </w:r>
            <w:r>
              <w:rPr>
                <w:sz w:val="22"/>
                <w:szCs w:val="22"/>
              </w:rPr>
            </w:r>
          </w:p>
        </w:tc>
        <w:tc>
          <w:tcPr>
            <w:tcW w:w="2839" w:type="dxa"/>
            <w:vAlign w:val="center"/>
            <w:textDirection w:val="lrTb"/>
            <w:noWrap w:val="false"/>
          </w:tcPr>
          <w:p>
            <w:pPr>
              <w:ind w:firstLine="0"/>
              <w:jc w:val="center"/>
              <w:spacing w:line="238" w:lineRule="auto"/>
              <w:rPr>
                <w:sz w:val="22"/>
                <w:szCs w:val="22"/>
              </w:rPr>
            </w:pPr>
            <w:r>
              <w:rPr>
                <w:sz w:val="22"/>
                <w:szCs w:val="22"/>
              </w:rPr>
              <w:t xml:space="preserve">Мероприятия</w:t>
            </w:r>
            <w:r>
              <w:rPr>
                <w:sz w:val="22"/>
                <w:szCs w:val="22"/>
              </w:rPr>
            </w:r>
            <w:r>
              <w:rPr>
                <w:sz w:val="22"/>
                <w:szCs w:val="22"/>
              </w:rPr>
            </w:r>
          </w:p>
        </w:tc>
        <w:tc>
          <w:tcPr>
            <w:tcW w:w="5919" w:type="dxa"/>
            <w:vAlign w:val="center"/>
            <w:textDirection w:val="lrTb"/>
            <w:noWrap w:val="false"/>
          </w:tcPr>
          <w:p>
            <w:pPr>
              <w:ind w:firstLine="0"/>
              <w:jc w:val="center"/>
              <w:spacing w:line="238" w:lineRule="auto"/>
              <w:tabs>
                <w:tab w:val="left" w:pos="540" w:leader="none"/>
              </w:tabs>
              <w:rPr>
                <w:sz w:val="22"/>
                <w:szCs w:val="22"/>
              </w:rPr>
            </w:pPr>
            <w:r>
              <w:rPr>
                <w:sz w:val="22"/>
                <w:szCs w:val="22"/>
              </w:rPr>
              <w:t xml:space="preserve">Информация о реализации</w:t>
            </w:r>
            <w:r>
              <w:rPr>
                <w:sz w:val="22"/>
                <w:szCs w:val="22"/>
              </w:rPr>
            </w:r>
            <w:r>
              <w:rPr>
                <w:sz w:val="22"/>
                <w:szCs w:val="22"/>
              </w:rPr>
            </w:r>
          </w:p>
        </w:tc>
      </w:tr>
      <w:tr>
        <w:trPr/>
        <w:tc>
          <w:tcPr>
            <w:tcW w:w="671" w:type="dxa"/>
            <w:textDirection w:val="lrTb"/>
            <w:noWrap w:val="false"/>
          </w:tcPr>
          <w:p>
            <w:pPr>
              <w:ind w:firstLine="0"/>
              <w:jc w:val="center"/>
              <w:spacing w:line="238" w:lineRule="auto"/>
              <w:tabs>
                <w:tab w:val="left" w:pos="540" w:leader="none"/>
              </w:tabs>
              <w:rPr>
                <w:sz w:val="22"/>
                <w:szCs w:val="22"/>
              </w:rPr>
            </w:pPr>
            <w:r>
              <w:rPr>
                <w:sz w:val="22"/>
                <w:szCs w:val="22"/>
              </w:rPr>
              <w:t xml:space="preserve">1</w:t>
            </w:r>
            <w:r>
              <w:rPr>
                <w:sz w:val="22"/>
                <w:szCs w:val="22"/>
              </w:rPr>
            </w:r>
            <w:r>
              <w:rPr>
                <w:sz w:val="22"/>
                <w:szCs w:val="22"/>
              </w:rPr>
            </w:r>
          </w:p>
        </w:tc>
        <w:tc>
          <w:tcPr>
            <w:tcW w:w="2839" w:type="dxa"/>
            <w:textDirection w:val="lrTb"/>
            <w:noWrap w:val="false"/>
          </w:tcPr>
          <w:p>
            <w:pPr>
              <w:ind w:firstLine="0"/>
              <w:jc w:val="left"/>
              <w:spacing w:line="238" w:lineRule="auto"/>
              <w:rPr>
                <w:sz w:val="22"/>
                <w:szCs w:val="22"/>
              </w:rPr>
            </w:pPr>
            <w:r>
              <w:rPr>
                <w:rFonts w:eastAsia="Calibri"/>
                <w:sz w:val="22"/>
                <w:szCs w:val="22"/>
              </w:rPr>
              <w:t xml:space="preserve">В</w:t>
            </w:r>
            <w:r>
              <w:rPr>
                <w:rFonts w:eastAsia="Calibri"/>
                <w:sz w:val="22"/>
                <w:szCs w:val="22"/>
              </w:rPr>
              <w:t xml:space="preserve">ыявление и пресечение функционирования в сети Интернет ресурсов, используемых для пропаганды незаконных потребления </w:t>
            </w:r>
            <w:r>
              <w:rPr>
                <w:rFonts w:eastAsia="Calibri"/>
                <w:sz w:val="22"/>
                <w:szCs w:val="22"/>
              </w:rPr>
              <w:br/>
              <w:t xml:space="preserve">и распространения наркотиков</w:t>
            </w:r>
            <w:r>
              <w:rPr>
                <w:sz w:val="22"/>
                <w:szCs w:val="22"/>
              </w:rPr>
            </w:r>
            <w:r>
              <w:rPr>
                <w:sz w:val="22"/>
                <w:szCs w:val="22"/>
              </w:rPr>
            </w:r>
          </w:p>
        </w:tc>
        <w:tc>
          <w:tcPr>
            <w:tcW w:w="5919" w:type="dxa"/>
            <w:textDirection w:val="lrTb"/>
            <w:noWrap w:val="false"/>
          </w:tcPr>
          <w:p>
            <w:pPr>
              <w:ind w:firstLine="0"/>
              <w:spacing w:line="238" w:lineRule="auto"/>
              <w:rPr>
                <w:sz w:val="22"/>
                <w:szCs w:val="22"/>
              </w:rPr>
            </w:pPr>
            <w:r>
              <w:rPr>
                <w:sz w:val="22"/>
                <w:szCs w:val="22"/>
              </w:rPr>
              <w:t xml:space="preserve">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w:t>
            </w:r>
            <w:r>
              <w:rPr>
                <w:sz w:val="22"/>
                <w:szCs w:val="22"/>
              </w:rPr>
              <w:t xml:space="preserve">угу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w:t>
            </w:r>
            <w:r>
              <w:rPr>
                <w:sz w:val="22"/>
                <w:szCs w:val="22"/>
              </w:rPr>
              <w:t xml:space="preserve"> В результате данного взаимодействия осуществлена проверка более семисот подозрительных ресурсов (740), заблокирован доступ к 11 ресурсам, содержащим противоправный контент, связанный с незаконным оборотом наркотиков и пропагандой их употребления.</w:t>
            </w:r>
            <w:r>
              <w:rPr>
                <w:sz w:val="22"/>
                <w:szCs w:val="22"/>
              </w:rPr>
            </w:r>
            <w:r>
              <w:rPr>
                <w:sz w:val="22"/>
                <w:szCs w:val="22"/>
              </w:rPr>
            </w:r>
          </w:p>
        </w:tc>
      </w:tr>
      <w:tr>
        <w:trPr/>
        <w:tc>
          <w:tcPr>
            <w:tcW w:w="671" w:type="dxa"/>
            <w:textDirection w:val="lrTb"/>
            <w:noWrap w:val="false"/>
          </w:tcPr>
          <w:p>
            <w:pPr>
              <w:ind w:firstLine="0"/>
              <w:jc w:val="center"/>
              <w:spacing w:line="238" w:lineRule="auto"/>
              <w:tabs>
                <w:tab w:val="left" w:pos="540" w:leader="none"/>
              </w:tabs>
              <w:rPr>
                <w:sz w:val="22"/>
                <w:szCs w:val="22"/>
              </w:rPr>
            </w:pPr>
            <w:r>
              <w:rPr>
                <w:sz w:val="22"/>
                <w:szCs w:val="22"/>
              </w:rPr>
              <w:t xml:space="preserve">2</w:t>
            </w:r>
            <w:r>
              <w:rPr>
                <w:sz w:val="22"/>
                <w:szCs w:val="22"/>
              </w:rPr>
            </w:r>
            <w:r>
              <w:rPr>
                <w:sz w:val="22"/>
                <w:szCs w:val="22"/>
              </w:rPr>
            </w:r>
          </w:p>
        </w:tc>
        <w:tc>
          <w:tcPr>
            <w:tcW w:w="2839" w:type="dxa"/>
            <w:textDirection w:val="lrTb"/>
            <w:noWrap w:val="false"/>
          </w:tcPr>
          <w:p>
            <w:pPr>
              <w:ind w:firstLine="0"/>
              <w:jc w:val="left"/>
              <w:spacing w:line="238" w:lineRule="auto"/>
              <w:rPr>
                <w:sz w:val="22"/>
                <w:szCs w:val="22"/>
              </w:rPr>
            </w:pPr>
            <w:r>
              <w:rPr>
                <w:rFonts w:eastAsia="Calibri"/>
                <w:sz w:val="22"/>
                <w:szCs w:val="22"/>
              </w:rPr>
              <w:t xml:space="preserve">П</w:t>
            </w:r>
            <w:r>
              <w:rPr>
                <w:rFonts w:eastAsia="Calibri"/>
                <w:sz w:val="22"/>
                <w:szCs w:val="22"/>
              </w:rPr>
              <w:t xml:space="preserve">овышение уровня информированности населения </w:t>
            </w:r>
            <w:r>
              <w:rPr>
                <w:rFonts w:eastAsia="Calibri"/>
                <w:sz w:val="22"/>
                <w:szCs w:val="22"/>
              </w:rPr>
              <w:br/>
              <w:t xml:space="preserve">о предусмотренной законодательством уголовной и административной ответственности за </w:t>
            </w:r>
            <w:r>
              <w:rPr>
                <w:rFonts w:eastAsia="Calibri"/>
                <w:sz w:val="22"/>
                <w:szCs w:val="22"/>
              </w:rPr>
              <w:t xml:space="preserve">совершение преступлений и правонарушений, связанных с незаконным оборотом наркотиков</w:t>
            </w:r>
            <w:r>
              <w:rPr>
                <w:sz w:val="22"/>
                <w:szCs w:val="22"/>
              </w:rPr>
            </w:r>
            <w:r>
              <w:rPr>
                <w:sz w:val="22"/>
                <w:szCs w:val="22"/>
              </w:rPr>
            </w:r>
          </w:p>
        </w:tc>
        <w:tc>
          <w:tcPr>
            <w:tcW w:w="5919" w:type="dxa"/>
            <w:textDirection w:val="lrTb"/>
            <w:noWrap w:val="false"/>
          </w:tcPr>
          <w:p>
            <w:pPr>
              <w:ind w:firstLine="0"/>
              <w:spacing w:line="238" w:lineRule="auto"/>
              <w:rPr>
                <w:sz w:val="22"/>
                <w:szCs w:val="22"/>
              </w:rPr>
            </w:pPr>
            <w:r>
              <w:rPr>
                <w:sz w:val="22"/>
                <w:szCs w:val="22"/>
              </w:rPr>
              <w:t xml:space="preserve">С</w:t>
            </w:r>
            <w:r>
              <w:rPr>
                <w:sz w:val="22"/>
                <w:szCs w:val="22"/>
              </w:rPr>
              <w:t xml:space="preserve">овместно с представителями субъектов профилактики организовано и проведено более 14 тысяч информационно-просветительских мероприятий для обучающихся образовательных учреждений Югры, направленных на повышение правовой грамотности в сфере </w:t>
            </w:r>
            <w:r>
              <w:rPr>
                <w:sz w:val="22"/>
                <w:szCs w:val="22"/>
              </w:rPr>
              <w:t xml:space="preserve">контроля за</w:t>
            </w:r>
            <w:r>
              <w:rPr>
                <w:sz w:val="22"/>
                <w:szCs w:val="22"/>
              </w:rPr>
              <w:t xml:space="preserve"> оборотом наркотиков и формирование здорового образа жизни (кинолектории, беседы, брифинги, круглые столы). </w:t>
            </w:r>
            <w:r>
              <w:rPr>
                <w:sz w:val="22"/>
                <w:szCs w:val="22"/>
              </w:rPr>
            </w:r>
            <w:r>
              <w:rPr>
                <w:sz w:val="22"/>
                <w:szCs w:val="22"/>
              </w:rPr>
            </w:r>
          </w:p>
          <w:p>
            <w:pPr>
              <w:ind w:firstLine="0"/>
              <w:spacing w:line="238" w:lineRule="auto"/>
              <w:rPr>
                <w:sz w:val="22"/>
                <w:szCs w:val="22"/>
              </w:rPr>
            </w:pPr>
            <w:r>
              <w:rPr>
                <w:sz w:val="22"/>
                <w:szCs w:val="22"/>
              </w:rPr>
              <w:t xml:space="preserve">В ходе кинолекториев, подросткам демонстрировались </w:t>
            </w:r>
            <w:r>
              <w:rPr>
                <w:sz w:val="22"/>
                <w:szCs w:val="22"/>
              </w:rPr>
              <w:t xml:space="preserve">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r>
              <w:rPr>
                <w:sz w:val="22"/>
                <w:szCs w:val="22"/>
              </w:rPr>
            </w:r>
            <w:r>
              <w:rPr>
                <w:sz w:val="22"/>
                <w:szCs w:val="22"/>
              </w:rPr>
            </w:r>
          </w:p>
          <w:p>
            <w:pPr>
              <w:ind w:firstLine="0"/>
              <w:spacing w:line="238" w:lineRule="auto"/>
              <w:rPr>
                <w:rFonts w:eastAsia="Arial Unicode MS"/>
                <w:sz w:val="22"/>
                <w:szCs w:val="22"/>
              </w:rPr>
            </w:pPr>
            <w:r>
              <w:rPr>
                <w:sz w:val="22"/>
                <w:szCs w:val="22"/>
              </w:rP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rPr>
                <w:sz w:val="22"/>
                <w:szCs w:val="22"/>
              </w:rP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sz w:val="22"/>
                <w:szCs w:val="22"/>
              </w:rPr>
            </w:r>
            <w:r>
              <w:rPr>
                <w:rFonts w:eastAsia="Arial Unicode MS"/>
                <w:sz w:val="22"/>
                <w:szCs w:val="22"/>
              </w:rPr>
            </w:r>
          </w:p>
          <w:p>
            <w:pPr>
              <w:ind w:firstLine="0"/>
              <w:spacing w:line="238" w:lineRule="auto"/>
              <w:rPr>
                <w:sz w:val="22"/>
                <w:szCs w:val="22"/>
              </w:rPr>
            </w:pPr>
            <w:r>
              <w:rPr>
                <w:sz w:val="22"/>
                <w:szCs w:val="22"/>
              </w:rPr>
              <w:t xml:space="preserve">Продолжена разъяснительная работа с родителями </w:t>
            </w:r>
            <w:r>
              <w:rPr>
                <w:sz w:val="22"/>
                <w:szCs w:val="22"/>
              </w:rPr>
              <w:t xml:space="preserve">обучающихся</w:t>
            </w:r>
            <w:r>
              <w:rPr>
                <w:sz w:val="22"/>
                <w:szCs w:val="22"/>
              </w:rPr>
              <w:t xml:space="preserve">, направленная на профилактику наркомании и наркопреступности в подростковой и молодежной среде. С участием сотрудников полиции состоялось 1270 родительских собрания, в том числе на указанные темы более 802</w:t>
            </w:r>
            <w:r>
              <w:rPr>
                <w:sz w:val="22"/>
                <w:szCs w:val="22"/>
              </w:rPr>
              <w:t xml:space="preserve">.</w:t>
            </w:r>
            <w:r>
              <w:rPr>
                <w:sz w:val="22"/>
                <w:szCs w:val="22"/>
              </w:rPr>
            </w:r>
            <w:r>
              <w:rPr>
                <w:sz w:val="22"/>
                <w:szCs w:val="22"/>
              </w:rPr>
            </w:r>
          </w:p>
          <w:p>
            <w:pPr>
              <w:ind w:firstLine="0"/>
              <w:spacing w:line="238" w:lineRule="auto"/>
              <w:rPr>
                <w:sz w:val="22"/>
                <w:szCs w:val="22"/>
              </w:rPr>
            </w:pPr>
            <w:r>
              <w:rPr>
                <w:sz w:val="22"/>
                <w:szCs w:val="22"/>
              </w:rPr>
              <w:t xml:space="preserve">В пер</w:t>
            </w:r>
            <w:r>
              <w:rPr>
                <w:sz w:val="22"/>
                <w:szCs w:val="22"/>
              </w:rPr>
              <w:t xml:space="preserve">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w:t>
            </w:r>
            <w:r>
              <w:rPr>
                <w:sz w:val="22"/>
                <w:szCs w:val="22"/>
              </w:rPr>
              <w:t xml:space="preserve">артаментом физической культуры и спорта Ханты-Мансийского автономного округа – Югры и другими заинтересованными ведомствами проведено 431 профилактическое мероприятие, приуроченное к Международному дню борьбы с наркоманией и незаконным оборотом наркотиков.</w:t>
            </w:r>
            <w:r>
              <w:rPr>
                <w:sz w:val="22"/>
                <w:szCs w:val="22"/>
              </w:rPr>
            </w:r>
            <w:r>
              <w:rPr>
                <w:sz w:val="22"/>
                <w:szCs w:val="22"/>
              </w:rPr>
            </w:r>
          </w:p>
          <w:p>
            <w:pPr>
              <w:ind w:firstLine="0"/>
              <w:spacing w:line="238" w:lineRule="auto"/>
              <w:rPr>
                <w:sz w:val="22"/>
                <w:szCs w:val="22"/>
              </w:rPr>
            </w:pPr>
            <w:r>
              <w:rPr>
                <w:sz w:val="22"/>
                <w:szCs w:val="22"/>
              </w:rPr>
              <w:t xml:space="preserve">В целях привлечения внимания общественности к проблеме наркомании и формирования в обществе негативного отношения к неза</w:t>
            </w:r>
            <w:r>
              <w:rPr>
                <w:sz w:val="22"/>
                <w:szCs w:val="22"/>
              </w:rPr>
              <w:t xml:space="preserve">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rPr>
                <w:sz w:val="22"/>
                <w:szCs w:val="22"/>
              </w:rPr>
            </w:r>
            <w:r>
              <w:rPr>
                <w:sz w:val="22"/>
                <w:szCs w:val="22"/>
              </w:rPr>
            </w:r>
          </w:p>
          <w:p>
            <w:pPr>
              <w:ind w:firstLine="0"/>
              <w:spacing w:line="238" w:lineRule="auto"/>
              <w:rPr>
                <w:sz w:val="22"/>
                <w:szCs w:val="22"/>
              </w:rPr>
            </w:pPr>
            <w:r>
              <w:rPr>
                <w:sz w:val="22"/>
                <w:szCs w:val="22"/>
              </w:rP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w:t>
            </w:r>
            <w:r>
              <w:rPr>
                <w:sz w:val="22"/>
                <w:szCs w:val="22"/>
              </w:rPr>
              <w:t xml:space="preserve">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r>
              <w:rPr>
                <w:sz w:val="22"/>
                <w:szCs w:val="22"/>
              </w:rPr>
            </w:r>
            <w:r>
              <w:rPr>
                <w:sz w:val="22"/>
                <w:szCs w:val="22"/>
              </w:rPr>
            </w:r>
          </w:p>
          <w:p>
            <w:pPr>
              <w:ind w:firstLine="0"/>
              <w:spacing w:line="238" w:lineRule="auto"/>
              <w:tabs>
                <w:tab w:val="left" w:pos="540" w:leader="none"/>
              </w:tabs>
              <w:rPr>
                <w:sz w:val="22"/>
                <w:szCs w:val="22"/>
              </w:rPr>
            </w:pPr>
            <w:r>
              <w:rPr>
                <w:sz w:val="22"/>
                <w:szCs w:val="22"/>
              </w:rPr>
              <w:t xml:space="preserve">Кроме того, с представителями мол</w:t>
            </w:r>
            <w:r>
              <w:rPr>
                <w:sz w:val="22"/>
                <w:szCs w:val="22"/>
              </w:rPr>
              <w:t xml:space="preserve">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w:t>
            </w:r>
            <w:r>
              <w:rPr>
                <w:sz w:val="22"/>
                <w:szCs w:val="22"/>
              </w:rPr>
            </w:r>
            <w:r>
              <w:rPr>
                <w:sz w:val="22"/>
                <w:szCs w:val="22"/>
              </w:rPr>
            </w:r>
          </w:p>
        </w:tc>
      </w:tr>
    </w:tbl>
    <w:p>
      <w:pPr>
        <w:jc w:val="center"/>
        <w:spacing w:line="240" w:lineRule="auto"/>
        <w:widowControl w:val="off"/>
        <w:tabs>
          <w:tab w:val="left" w:pos="1671" w:leader="none"/>
        </w:tabs>
        <w:rPr>
          <w:highlight w:val="yellow"/>
          <w:lang w:bidi="ru-RU"/>
        </w:rPr>
      </w:pPr>
      <w:r>
        <w:rPr>
          <w:highlight w:val="yellow"/>
          <w:lang w:bidi="ru-RU"/>
        </w:rPr>
      </w:r>
      <w:r>
        <w:rPr>
          <w:highlight w:val="yellow"/>
          <w:lang w:bidi="ru-RU"/>
        </w:rPr>
      </w:r>
      <w:r>
        <w:rPr>
          <w:highlight w:val="yellow"/>
          <w:lang w:bidi="ru-RU"/>
        </w:rPr>
      </w:r>
    </w:p>
    <w:p>
      <w:pPr>
        <w:jc w:val="right"/>
        <w:spacing w:line="240" w:lineRule="auto"/>
        <w:widowControl w:val="off"/>
        <w:tabs>
          <w:tab w:val="left" w:pos="1671" w:leader="none"/>
        </w:tabs>
        <w:rPr>
          <w:lang w:bidi="ru-RU"/>
        </w:rPr>
      </w:pPr>
      <w:r>
        <w:rPr>
          <w:highlight w:val="none"/>
          <w:lang w:bidi="ru-RU"/>
        </w:rPr>
      </w:r>
      <w:r>
        <w:rPr>
          <w:lang w:bidi="ru-RU"/>
        </w:rPr>
      </w:r>
      <w:r>
        <w:rPr>
          <w:lang w:bidi="ru-RU"/>
        </w:rP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rPr>
          <w:highlight w:val="none"/>
          <w:lang w:bidi="ru-RU"/>
        </w:rPr>
      </w:r>
    </w:p>
    <w:p>
      <w:pPr>
        <w:jc w:val="right"/>
        <w:spacing w:line="240" w:lineRule="auto"/>
        <w:widowControl w:val="off"/>
        <w:tabs>
          <w:tab w:val="left" w:pos="1671" w:leader="none"/>
        </w:tabs>
        <w:rPr>
          <w:highlight w:val="none"/>
          <w:lang w:bidi="ru-RU"/>
        </w:rPr>
      </w:pPr>
      <w:r>
        <w:rPr>
          <w:lang w:bidi="ru-RU"/>
        </w:rPr>
        <w:t xml:space="preserve">Таблица 6</w:t>
      </w:r>
      <w:r>
        <w:rPr>
          <w:highlight w:val="none"/>
          <w:lang w:bidi="ru-RU"/>
        </w:rPr>
      </w:r>
      <w:r>
        <w:rPr>
          <w:highlight w:val="none"/>
          <w:lang w:bidi="ru-RU"/>
        </w:rPr>
      </w:r>
    </w:p>
    <w:p>
      <w:pPr>
        <w:jc w:val="right"/>
        <w:spacing w:line="240" w:lineRule="auto"/>
        <w:widowControl w:val="off"/>
        <w:tabs>
          <w:tab w:val="left" w:pos="1671" w:leader="none"/>
        </w:tabs>
        <w:rPr>
          <w:lang w:bidi="ru-RU"/>
        </w:rPr>
      </w:pPr>
      <w:r>
        <w:rPr>
          <w:lang w:bidi="ru-RU"/>
        </w:rPr>
      </w:r>
      <w:r>
        <w:rPr>
          <w:lang w:bidi="ru-RU"/>
        </w:rPr>
      </w:r>
      <w:r>
        <w:rPr>
          <w:lang w:bidi="ru-RU"/>
        </w:rPr>
      </w:r>
    </w:p>
    <w:p>
      <w:pPr>
        <w:ind w:firstLine="0"/>
        <w:jc w:val="center"/>
        <w:spacing w:line="240" w:lineRule="auto"/>
        <w:widowControl w:val="off"/>
        <w:tabs>
          <w:tab w:val="left" w:pos="1671" w:leader="none"/>
        </w:tabs>
        <w:rPr>
          <w:b/>
          <w:lang w:bidi="ru-RU"/>
        </w:rPr>
      </w:pPr>
      <w:r>
        <w:rPr>
          <w:b/>
          <w:lang w:bidi="ru-RU"/>
        </w:rPr>
        <w:t xml:space="preserve">Информация по достижению значений показателей в 202</w:t>
      </w:r>
      <w:r>
        <w:rPr>
          <w:b/>
          <w:lang w:bidi="ru-RU"/>
        </w:rPr>
        <w:t xml:space="preserve">4</w:t>
      </w:r>
      <w:r>
        <w:rPr>
          <w:b/>
          <w:lang w:bidi="ru-RU"/>
        </w:rPr>
        <w:t xml:space="preserve"> году</w:t>
      </w:r>
      <w:r>
        <w:rPr>
          <w:b/>
          <w:lang w:bidi="ru-RU"/>
        </w:rPr>
      </w:r>
      <w:r>
        <w:rPr>
          <w:b/>
          <w:lang w:bidi="ru-RU"/>
        </w:rP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670"/>
        <w:gridCol w:w="1701"/>
        <w:gridCol w:w="1560"/>
      </w:tblGrid>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 </w:t>
            </w:r>
            <w:r>
              <w:rPr>
                <w:rFonts w:eastAsia="Calibri"/>
                <w:sz w:val="22"/>
                <w:szCs w:val="22"/>
              </w:rPr>
              <w:t xml:space="preserve">п</w:t>
            </w:r>
            <w:r>
              <w:rPr>
                <w:rFonts w:eastAsia="Calibri"/>
                <w:sz w:val="22"/>
                <w:szCs w:val="22"/>
              </w:rPr>
              <w:t xml:space="preserve">/п</w:t>
            </w:r>
            <w:r>
              <w:rPr>
                <w:rFonts w:eastAsia="Calibri"/>
                <w:sz w:val="22"/>
                <w:szCs w:val="22"/>
              </w:rPr>
            </w:r>
            <w:r>
              <w:rPr>
                <w:rFonts w:eastAsia="Calibri"/>
                <w:sz w:val="22"/>
                <w:szCs w:val="22"/>
              </w:rPr>
            </w:r>
          </w:p>
        </w:tc>
        <w:tc>
          <w:tcPr>
            <w:tcW w:w="567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Наименование </w:t>
            </w:r>
            <w:r>
              <w:rPr>
                <w:rFonts w:eastAsia="Calibri"/>
                <w:sz w:val="22"/>
                <w:szCs w:val="22"/>
              </w:rPr>
            </w:r>
            <w:r>
              <w:rPr>
                <w:rFonts w:eastAsia="Calibri"/>
                <w:sz w:val="22"/>
                <w:szCs w:val="22"/>
              </w:rPr>
            </w:r>
          </w:p>
          <w:p>
            <w:pPr>
              <w:ind w:firstLine="0"/>
              <w:jc w:val="center"/>
              <w:spacing w:line="240" w:lineRule="auto"/>
              <w:rPr>
                <w:rFonts w:eastAsia="Calibri"/>
                <w:sz w:val="22"/>
                <w:szCs w:val="22"/>
              </w:rPr>
            </w:pPr>
            <w:r>
              <w:rPr>
                <w:rFonts w:eastAsia="Calibri"/>
                <w:sz w:val="22"/>
                <w:szCs w:val="22"/>
              </w:rPr>
              <w:t xml:space="preserve">показателя</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Плановое значение на 202</w:t>
            </w:r>
            <w:r>
              <w:rPr>
                <w:rFonts w:eastAsia="Calibri"/>
                <w:sz w:val="22"/>
                <w:szCs w:val="22"/>
              </w:rPr>
              <w:t xml:space="preserve">4</w:t>
            </w:r>
            <w:r>
              <w:rPr>
                <w:rFonts w:eastAsia="Calibri"/>
                <w:sz w:val="22"/>
                <w:szCs w:val="22"/>
              </w:rPr>
              <w:t xml:space="preserve"> год</w:t>
            </w:r>
            <w:r>
              <w:rPr>
                <w:rFonts w:eastAsia="Calibri"/>
                <w:sz w:val="22"/>
                <w:szCs w:val="22"/>
              </w:rPr>
            </w:r>
            <w:r>
              <w:rPr>
                <w:rFonts w:eastAsia="Calibri"/>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Фактическое значение за 202</w:t>
            </w:r>
            <w:r>
              <w:rPr>
                <w:rFonts w:eastAsia="Calibri"/>
                <w:sz w:val="22"/>
                <w:szCs w:val="22"/>
              </w:rPr>
              <w:t xml:space="preserve">4</w:t>
            </w:r>
            <w:r>
              <w:rPr>
                <w:rFonts w:eastAsia="Calibri"/>
                <w:sz w:val="22"/>
                <w:szCs w:val="22"/>
              </w:rPr>
              <w:t xml:space="preserve"> год</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Вовлеченность населения в незаконный оборот наркотиков (на 100 тыс. человек)</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148</w:t>
            </w:r>
            <w:r>
              <w:rPr>
                <w:sz w:val="22"/>
                <w:szCs w:val="22"/>
              </w:rPr>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162,8</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2</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Криминогенность наркомании (на 100 тыс. человек)</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139</w:t>
            </w:r>
            <w:r>
              <w:rPr>
                <w:sz w:val="22"/>
                <w:szCs w:val="22"/>
              </w:rPr>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126,7</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3</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(на 100 тыс. человек)</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5,6</w:t>
            </w:r>
            <w:r>
              <w:rPr>
                <w:sz w:val="22"/>
                <w:szCs w:val="22"/>
              </w:rPr>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6,1</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4</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среди несовершеннолетних (на 100 тыс. несовершеннолетних)</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0,9</w:t>
            </w:r>
            <w:r>
              <w:rPr>
                <w:sz w:val="22"/>
                <w:szCs w:val="22"/>
              </w:rPr>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0,7</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5</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смерти в результате острых отравлений наркотиками (на 100 тыс. человек)</w:t>
            </w:r>
            <w:r>
              <w:rPr>
                <w:rFonts w:eastAsia="Calibri"/>
                <w:sz w:val="22"/>
                <w:szCs w:val="22"/>
              </w:rPr>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4,5</w:t>
            </w:r>
            <w:r>
              <w:rPr>
                <w:sz w:val="22"/>
                <w:szCs w:val="22"/>
              </w:rPr>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3,3</w:t>
            </w:r>
            <w:r>
              <w:rPr>
                <w:rFonts w:eastAsia="Calibri"/>
                <w:sz w:val="22"/>
                <w:szCs w:val="22"/>
              </w:rPr>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6</w:t>
            </w:r>
            <w:r>
              <w:rPr>
                <w:rFonts w:eastAsia="Calibri"/>
                <w:sz w:val="22"/>
                <w:szCs w:val="22"/>
              </w:rPr>
            </w:r>
            <w:r>
              <w:rPr>
                <w:rFonts w:eastAsia="Calibri"/>
                <w:sz w:val="22"/>
                <w:szCs w:val="22"/>
              </w:rPr>
            </w:r>
          </w:p>
        </w:tc>
        <w:tc>
          <w:tcPr>
            <w:tcW w:w="5670" w:type="dxa"/>
            <w:vAlign w:val="center"/>
            <w:textDirection w:val="lrTb"/>
            <w:noWrap w:val="false"/>
          </w:tcPr>
          <w:p>
            <w:pPr>
              <w:ind w:firstLine="0"/>
              <w:jc w:val="left"/>
              <w:spacing w:line="240" w:lineRule="auto"/>
              <w:rPr>
                <w:rFonts w:eastAsia="Calibri"/>
                <w:b/>
                <w:sz w:val="22"/>
                <w:szCs w:val="22"/>
              </w:rPr>
            </w:pPr>
            <w:r>
              <w:rPr>
                <w:b/>
                <w:bCs/>
                <w:color w:val="000000"/>
                <w:sz w:val="22"/>
                <w:szCs w:val="22"/>
              </w:rPr>
              <w:t xml:space="preserve">Общая оценка наркоситуации</w:t>
            </w:r>
            <w:r>
              <w:rPr>
                <w:rFonts w:eastAsia="Calibri"/>
                <w:b/>
                <w:sz w:val="22"/>
                <w:szCs w:val="22"/>
              </w:rPr>
            </w:r>
            <w:r>
              <w:rPr>
                <w:rFonts w:eastAsia="Calibri"/>
                <w:b/>
                <w:sz w:val="22"/>
                <w:szCs w:val="22"/>
              </w:rPr>
            </w:r>
          </w:p>
        </w:tc>
        <w:tc>
          <w:tcPr>
            <w:tcW w:w="1701" w:type="dxa"/>
            <w:vAlign w:val="center"/>
            <w:textDirection w:val="lrTb"/>
            <w:noWrap w:val="false"/>
          </w:tcPr>
          <w:p>
            <w:pPr>
              <w:ind w:firstLine="0"/>
              <w:jc w:val="center"/>
              <w:spacing w:line="240" w:lineRule="auto"/>
              <w:rPr>
                <w:rFonts w:eastAsia="Calibri"/>
                <w:b/>
                <w:sz w:val="22"/>
                <w:szCs w:val="22"/>
              </w:rPr>
            </w:pPr>
            <w:r>
              <w:rPr>
                <w:b/>
                <w:bCs/>
                <w:color w:val="000000"/>
                <w:sz w:val="22"/>
                <w:szCs w:val="22"/>
              </w:rPr>
              <w:t xml:space="preserve">Сложная</w:t>
            </w:r>
            <w:r>
              <w:rPr>
                <w:rFonts w:eastAsia="Calibri"/>
                <w:b/>
                <w:sz w:val="22"/>
                <w:szCs w:val="22"/>
              </w:rPr>
            </w:r>
            <w:r>
              <w:rPr>
                <w:rFonts w:eastAsia="Calibri"/>
                <w:b/>
                <w:sz w:val="22"/>
                <w:szCs w:val="22"/>
              </w:rPr>
            </w:r>
          </w:p>
        </w:tc>
        <w:tc>
          <w:tcPr>
            <w:tcW w:w="1560" w:type="dxa"/>
            <w:vAlign w:val="center"/>
            <w:textDirection w:val="lrTb"/>
            <w:noWrap w:val="false"/>
          </w:tcPr>
          <w:p>
            <w:pPr>
              <w:ind w:firstLine="0"/>
              <w:jc w:val="center"/>
              <w:spacing w:line="240" w:lineRule="auto"/>
              <w:rPr>
                <w:rFonts w:eastAsia="Calibri"/>
                <w:b/>
                <w:sz w:val="22"/>
                <w:szCs w:val="22"/>
              </w:rPr>
            </w:pPr>
            <w:r>
              <w:rPr>
                <w:rFonts w:eastAsia="Calibri"/>
                <w:b/>
                <w:bCs/>
                <w:color w:val="000000"/>
                <w:sz w:val="22"/>
                <w:szCs w:val="22"/>
              </w:rPr>
              <w:t xml:space="preserve">Нейтральная</w:t>
            </w:r>
            <w:r>
              <w:rPr>
                <w:rFonts w:eastAsia="Calibri"/>
                <w:b/>
                <w:sz w:val="22"/>
                <w:szCs w:val="22"/>
              </w:rPr>
            </w:r>
            <w:r>
              <w:rPr>
                <w:rFonts w:eastAsia="Calibri"/>
                <w:b/>
                <w:sz w:val="22"/>
                <w:szCs w:val="22"/>
              </w:rPr>
            </w:r>
          </w:p>
        </w:tc>
      </w:tr>
    </w:tbl>
    <w:p>
      <w:pPr>
        <w:spacing w:line="240" w:lineRule="auto"/>
        <w:rPr>
          <w:bCs/>
        </w:rPr>
      </w:pPr>
      <w:r>
        <w:rPr>
          <w:bCs/>
        </w:rPr>
      </w:r>
      <w:r>
        <w:rPr>
          <w:bCs/>
        </w:rPr>
      </w:r>
      <w:r>
        <w:rPr>
          <w:bCs/>
        </w:rPr>
      </w:r>
    </w:p>
    <w:p>
      <w:pPr>
        <w:ind w:firstLine="709"/>
        <w:spacing w:line="276" w:lineRule="auto"/>
      </w:pPr>
      <w:r/>
      <w:r/>
    </w:p>
    <w:p>
      <w:pPr>
        <w:ind w:firstLine="709"/>
        <w:spacing w:line="240" w:lineRule="auto"/>
        <w:rPr>
          <w:szCs w:val="20"/>
        </w:rPr>
      </w:pPr>
      <w:r>
        <w:rPr>
          <w:szCs w:val="20"/>
        </w:rPr>
      </w:r>
      <w:r>
        <w:rPr>
          <w:szCs w:val="20"/>
        </w:rPr>
      </w:r>
      <w:r>
        <w:rPr>
          <w:szCs w:val="20"/>
        </w:rPr>
      </w:r>
    </w:p>
    <w:p>
      <w:pPr>
        <w:ind w:firstLine="709"/>
        <w:spacing w:line="276" w:lineRule="auto"/>
        <w:rPr>
          <w:b/>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rPr>
      </w:r>
      <w:r>
        <w:rPr>
          <w:b/>
        </w:rPr>
      </w:r>
      <w:r>
        <w:rPr>
          <w:b/>
        </w:rPr>
      </w:r>
    </w:p>
    <w:p>
      <w:pPr>
        <w:ind w:firstLine="709"/>
        <w:spacing w:line="276" w:lineRule="auto"/>
        <w:rPr>
          <w:b/>
        </w:rPr>
        <w:outlineLvl w:val="1"/>
      </w:pPr>
      <w:r>
        <w:rPr>
          <w:b/>
        </w:rP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rPr>
          <w:b/>
        </w:rPr>
      </w:r>
      <w:r>
        <w:rPr>
          <w:b/>
        </w:rPr>
      </w:r>
    </w:p>
    <w:p>
      <w:pPr>
        <w:ind w:firstLine="709"/>
        <w:spacing w:line="276" w:lineRule="auto"/>
      </w:pPr>
      <w:r/>
      <w:r/>
    </w:p>
    <w:p>
      <w:pPr>
        <w:ind w:firstLine="709"/>
        <w:spacing w:line="276" w:lineRule="auto"/>
        <w:rPr>
          <w:b/>
        </w:rPr>
      </w:pPr>
      <w:r>
        <w:t xml:space="preserve">Порядок определения критериев оценки развития наркоситуации закреплен </w:t>
      </w:r>
      <w:r>
        <w:rPr>
          <w:rFonts w:eastAsia="Calibri"/>
          <w:color w:val="000000"/>
        </w:rPr>
        <w:t xml:space="preserve">Методикой и порядком осуществления мониторинга, а также критериями оценки развития наркоситуации в Российской Федерац</w:t>
      </w:r>
      <w:r>
        <w:rPr>
          <w:rFonts w:eastAsia="Calibri"/>
          <w:color w:val="000000"/>
        </w:rPr>
        <w:t xml:space="preserve">ии и ее</w:t>
      </w:r>
      <w:r>
        <w:rPr>
          <w:rFonts w:eastAsia="Calibri"/>
          <w:color w:val="000000"/>
        </w:rPr>
        <w:t xml:space="preserve"> субъектах, утвержденной подпунктом 4.3 решения Государственного антинаркотического комитета (протокол от 25</w:t>
      </w:r>
      <w:r>
        <w:rPr>
          <w:rFonts w:eastAsia="Calibri"/>
          <w:color w:val="000000"/>
        </w:rPr>
        <w:t xml:space="preserve">.06.</w:t>
      </w:r>
      <w:r>
        <w:rPr>
          <w:rFonts w:eastAsia="Calibri"/>
          <w:color w:val="000000"/>
        </w:rPr>
        <w:t xml:space="preserve">2021 № 48</w:t>
      </w:r>
      <w:r>
        <w:rPr>
          <w:rFonts w:eastAsia="Calibri"/>
          <w:color w:val="000000"/>
        </w:rPr>
        <w:t xml:space="preserve">,</w:t>
      </w:r>
      <w:r>
        <w:rPr>
          <w:rFonts w:eastAsia="Calibri"/>
          <w:color w:val="000000"/>
        </w:rPr>
        <w:t xml:space="preserve"> с изменениями и дополнениями от 26</w:t>
      </w:r>
      <w:r>
        <w:rPr>
          <w:rFonts w:eastAsia="Calibri"/>
          <w:color w:val="000000"/>
        </w:rPr>
        <w:t xml:space="preserve">.12.</w:t>
      </w:r>
      <w:r>
        <w:rPr>
          <w:rFonts w:eastAsia="Calibri"/>
          <w:color w:val="000000"/>
        </w:rPr>
        <w:t xml:space="preserve">2022 (протокол № 51)</w:t>
      </w:r>
      <w:r>
        <w:rPr>
          <w:rFonts w:eastAsia="Calibri"/>
          <w:color w:val="000000"/>
        </w:rPr>
        <w:t xml:space="preserve">.</w:t>
      </w:r>
      <w:r>
        <w:rPr>
          <w:b/>
        </w:rPr>
      </w:r>
      <w:r>
        <w:rPr>
          <w:b/>
        </w:rPr>
      </w:r>
    </w:p>
    <w:p>
      <w:pPr>
        <w:ind w:firstLine="709"/>
        <w:spacing w:line="276" w:lineRule="auto"/>
      </w:pPr>
      <w:r>
        <w:t xml:space="preserve">Оценка развития наркоситуации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w:t>
      </w:r>
      <w:r>
        <w:t xml:space="preserve">напряженна</w:t>
      </w:r>
      <w:r>
        <w:t xml:space="preserve">я» → «предкризисная» → «кризисная».</w:t>
      </w:r>
      <w:r/>
    </w:p>
    <w:p>
      <w:pPr>
        <w:ind w:firstLine="709"/>
        <w:spacing w:line="276" w:lineRule="auto"/>
      </w:pPr>
      <w:r>
        <w:t xml:space="preserve">Критерии оценки развития наркоситуации при проведении мониторинга определяются </w:t>
      </w:r>
      <w:r>
        <w:t xml:space="preserve">на региональном уровне </w:t>
      </w:r>
      <w:r>
        <w:t xml:space="preserve">по следующим оценочным показателям </w:t>
      </w:r>
      <w:r>
        <w:t xml:space="preserve">(ОП) </w:t>
      </w:r>
      <w:r>
        <w:t xml:space="preserve">наркоситуации:</w:t>
      </w:r>
      <w:r/>
    </w:p>
    <w:p>
      <w:pPr>
        <w:ind w:firstLine="709"/>
        <w:spacing w:line="276" w:lineRule="auto"/>
        <w:rPr>
          <w:bCs/>
        </w:rPr>
      </w:pPr>
      <w:r>
        <w:t xml:space="preserve">ОП</w:t>
      </w:r>
      <w:r>
        <w:t xml:space="preserve">1</w:t>
      </w:r>
      <w:r>
        <w:t xml:space="preserve">. В</w:t>
      </w:r>
      <w:r>
        <w:rPr>
          <w:bCs/>
        </w:rPr>
        <w:t xml:space="preserve">овлеченность населения в незаконный оборот наркотиков;</w:t>
      </w:r>
      <w:r>
        <w:rPr>
          <w:bCs/>
        </w:rPr>
      </w:r>
      <w:r>
        <w:rPr>
          <w:bCs/>
        </w:rPr>
      </w:r>
    </w:p>
    <w:p>
      <w:pPr>
        <w:ind w:firstLine="709"/>
        <w:spacing w:line="276" w:lineRule="auto"/>
        <w:rPr>
          <w:bCs/>
        </w:rPr>
      </w:pPr>
      <w:r>
        <w:rPr>
          <w:bCs/>
        </w:rPr>
        <w:t xml:space="preserve">ОП</w:t>
      </w:r>
      <w:r>
        <w:rPr>
          <w:bCs/>
        </w:rPr>
        <w:t xml:space="preserve">2</w:t>
      </w:r>
      <w:r>
        <w:rPr>
          <w:bCs/>
        </w:rPr>
        <w:t xml:space="preserve">. Уровень вовлеченности несовершеннолетних в незаконный оборот наркотиков;</w:t>
      </w:r>
      <w:r>
        <w:rPr>
          <w:bCs/>
        </w:rPr>
      </w:r>
      <w:r>
        <w:rPr>
          <w:bCs/>
        </w:rPr>
      </w:r>
    </w:p>
    <w:p>
      <w:pPr>
        <w:ind w:firstLine="709"/>
        <w:spacing w:line="276" w:lineRule="auto"/>
        <w:rPr>
          <w:bCs/>
        </w:rPr>
      </w:pPr>
      <w:r>
        <w:rPr>
          <w:bCs/>
        </w:rPr>
        <w:t xml:space="preserve">ОП3. Криминогенность наркомании;</w:t>
      </w:r>
      <w:r>
        <w:rPr>
          <w:bCs/>
        </w:rPr>
      </w:r>
      <w:r>
        <w:rPr>
          <w:bCs/>
        </w:rPr>
      </w:r>
    </w:p>
    <w:p>
      <w:pPr>
        <w:ind w:firstLine="709"/>
        <w:spacing w:line="276" w:lineRule="auto"/>
        <w:rPr>
          <w:bCs/>
        </w:rPr>
      </w:pPr>
      <w:r>
        <w:rPr>
          <w:bCs/>
        </w:rPr>
        <w:t xml:space="preserve">ОП</w:t>
      </w:r>
      <w:r>
        <w:rPr>
          <w:bCs/>
        </w:rPr>
        <w:t xml:space="preserve">4</w:t>
      </w:r>
      <w:r>
        <w:rPr>
          <w:bCs/>
        </w:rPr>
        <w:t xml:space="preserve">. Уровень криминогенности наркомании среди несовершеннолетних;</w:t>
      </w:r>
      <w:r>
        <w:rPr>
          <w:bCs/>
        </w:rPr>
      </w:r>
      <w:r>
        <w:rPr>
          <w:bCs/>
        </w:rPr>
      </w:r>
    </w:p>
    <w:p>
      <w:pPr>
        <w:ind w:firstLine="709"/>
        <w:spacing w:line="276" w:lineRule="auto"/>
        <w:rPr>
          <w:bCs/>
        </w:rPr>
      </w:pPr>
      <w:r>
        <w:rPr>
          <w:bCs/>
        </w:rPr>
        <w:t xml:space="preserve">ОП5. Доступность наркотиков </w:t>
      </w:r>
      <w:r>
        <w:rPr>
          <w:bCs/>
          <w:i/>
        </w:rPr>
        <w:t xml:space="preserve">(рассчитывается только на федеральном уровне);</w:t>
      </w:r>
      <w:r>
        <w:rPr>
          <w:bCs/>
        </w:rPr>
      </w:r>
      <w:r>
        <w:rPr>
          <w:bCs/>
        </w:rPr>
      </w:r>
    </w:p>
    <w:p>
      <w:pPr>
        <w:ind w:firstLine="709"/>
        <w:spacing w:line="276" w:lineRule="auto"/>
        <w:rPr>
          <w:bCs/>
        </w:rPr>
      </w:pPr>
      <w:r>
        <w:rPr>
          <w:bCs/>
        </w:rPr>
        <w:t xml:space="preserve">ОП</w:t>
      </w:r>
      <w:r>
        <w:rPr>
          <w:bCs/>
        </w:rPr>
        <w:t xml:space="preserve">6</w:t>
      </w:r>
      <w:r>
        <w:rPr>
          <w:bCs/>
        </w:rPr>
        <w:t xml:space="preserve">.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rPr>
          <w:bCs/>
        </w:rPr>
      </w:r>
      <w:r>
        <w:rPr>
          <w:bCs/>
        </w:rPr>
      </w:r>
    </w:p>
    <w:p>
      <w:pPr>
        <w:ind w:firstLine="709"/>
        <w:spacing w:line="276" w:lineRule="auto"/>
        <w:rPr>
          <w:bCs/>
        </w:rPr>
      </w:pPr>
      <w:r>
        <w:rPr>
          <w:bCs/>
        </w:rPr>
        <w:t xml:space="preserve">ОП</w:t>
      </w:r>
      <w:r>
        <w:rPr>
          <w:bCs/>
        </w:rPr>
        <w:t xml:space="preserve">7</w:t>
      </w:r>
      <w:r>
        <w:rPr>
          <w:bCs/>
        </w:rPr>
        <w:t xml:space="preserve">. У</w:t>
      </w:r>
      <w:r>
        <w:t xml:space="preserve">ровень первичной заболеваемости наркоманией;</w:t>
      </w:r>
      <w:r>
        <w:rPr>
          <w:bCs/>
        </w:rPr>
      </w:r>
      <w:r>
        <w:rPr>
          <w:bCs/>
        </w:rPr>
      </w:r>
    </w:p>
    <w:p>
      <w:pPr>
        <w:ind w:firstLine="709"/>
        <w:spacing w:line="276" w:lineRule="auto"/>
        <w:rPr>
          <w:bCs/>
        </w:rPr>
      </w:pPr>
      <w:r>
        <w:rPr>
          <w:bCs/>
        </w:rPr>
        <w:t xml:space="preserve">ОП8. О</w:t>
      </w:r>
      <w:r>
        <w:t xml:space="preserve">стрые отравления наркотиками;</w:t>
      </w:r>
      <w:r>
        <w:rPr>
          <w:bCs/>
        </w:rPr>
      </w:r>
      <w:r>
        <w:rPr>
          <w:bCs/>
        </w:rPr>
      </w:r>
    </w:p>
    <w:p>
      <w:pPr>
        <w:ind w:firstLine="709"/>
        <w:spacing w:line="276" w:lineRule="auto"/>
        <w:rPr>
          <w:bCs/>
        </w:rPr>
      </w:pPr>
      <w:r>
        <w:rPr>
          <w:bCs/>
        </w:rPr>
        <w:t xml:space="preserve">ОП</w:t>
      </w:r>
      <w:r>
        <w:rPr>
          <w:bCs/>
        </w:rPr>
        <w:t xml:space="preserve">9</w:t>
      </w:r>
      <w:r>
        <w:rPr>
          <w:bCs/>
        </w:rPr>
        <w:t xml:space="preserve">. О</w:t>
      </w:r>
      <w:r>
        <w:t xml:space="preserve">стрые отравления наркотиками среди несовершеннолетних;</w:t>
      </w:r>
      <w:r>
        <w:rPr>
          <w:bCs/>
        </w:rPr>
      </w:r>
      <w:r>
        <w:rPr>
          <w:bCs/>
        </w:rPr>
      </w:r>
    </w:p>
    <w:p>
      <w:pPr>
        <w:ind w:firstLine="709"/>
        <w:spacing w:line="276" w:lineRule="auto"/>
      </w:pPr>
      <w:r>
        <w:rPr>
          <w:bCs/>
        </w:rPr>
        <w:t xml:space="preserve">ОП10. С</w:t>
      </w:r>
      <w:r>
        <w:t xml:space="preserve">мертность, связанная с острым отравлением наркотиками.</w:t>
      </w:r>
      <w:r/>
    </w:p>
    <w:p>
      <w:pPr>
        <w:ind w:firstLine="709"/>
        <w:spacing w:line="276" w:lineRule="auto"/>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w:t>
      </w:r>
      <w:r>
        <w:t xml:space="preserve">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t xml:space="preserve">среднеарифметическое </w:t>
      </w:r>
      <w:bookmarkStart w:id="6" w:name="P183"/>
      <w:r/>
      <w:bookmarkEnd w:id="6"/>
      <w:r>
        <w:t xml:space="preserve">значение оценочных показателей муниципальных образований.</w:t>
      </w:r>
      <w:r/>
    </w:p>
    <w:p>
      <w:pPr>
        <w:ind w:firstLine="709"/>
        <w:spacing w:line="276" w:lineRule="auto"/>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w:t>
      </w:r>
      <w:r>
        <w:t xml:space="preserve">соответствующему направлению.</w:t>
      </w:r>
      <w:r/>
    </w:p>
    <w:p>
      <w:pPr>
        <w:ind w:firstLine="709"/>
        <w:spacing w:line="276" w:lineRule="auto"/>
        <w:rPr>
          <w:rFonts w:eastAsia="Calibri"/>
          <w:color w:val="000000"/>
        </w:rPr>
      </w:pPr>
      <w:r>
        <w:t xml:space="preserve">В таблиц</w:t>
      </w:r>
      <w:r>
        <w:t xml:space="preserve">ах</w:t>
      </w:r>
      <w:r>
        <w:t xml:space="preserve"> </w:t>
      </w:r>
      <w:r>
        <w:t xml:space="preserve">7-8</w:t>
      </w:r>
      <w:r>
        <w:t xml:space="preserve"> </w:t>
      </w:r>
      <w:r>
        <w:t xml:space="preserve">и на рис. 1</w:t>
      </w:r>
      <w:r>
        <w:t xml:space="preserve">6</w:t>
      </w:r>
      <w:r>
        <w:t xml:space="preserve">-2</w:t>
      </w:r>
      <w:r>
        <w:t xml:space="preserve">4</w:t>
      </w:r>
      <w:r>
        <w:t xml:space="preserve"> представлены </w:t>
      </w:r>
      <w:r>
        <w:t xml:space="preserve">оценочны</w:t>
      </w:r>
      <w:r>
        <w:t xml:space="preserve">е</w:t>
      </w:r>
      <w:r>
        <w:t xml:space="preserve"> показател</w:t>
      </w:r>
      <w:r>
        <w:t xml:space="preserve">и</w:t>
      </w:r>
      <w:r>
        <w:t xml:space="preserve"> наркоситуации </w:t>
      </w:r>
      <w:r>
        <w:t xml:space="preserve">в</w:t>
      </w:r>
      <w:r>
        <w:t xml:space="preserve"> </w:t>
      </w:r>
      <w:r>
        <w:rPr>
          <w:rFonts w:eastAsia="Calibri"/>
          <w:color w:val="000000"/>
        </w:rPr>
        <w:t xml:space="preserve">Ханты-Мансийском</w:t>
      </w:r>
      <w:r>
        <w:rPr>
          <w:rFonts w:eastAsia="Calibri"/>
          <w:color w:val="000000"/>
        </w:rPr>
        <w:t xml:space="preserve"> автономном округе – Югре в разрезе муниципальных образований региона.</w:t>
      </w:r>
      <w:r>
        <w:rPr>
          <w:rFonts w:eastAsia="Calibri"/>
          <w:color w:val="000000"/>
        </w:rPr>
      </w:r>
      <w:r>
        <w:rPr>
          <w:rFonts w:eastAsia="Calibri"/>
          <w:color w:val="000000"/>
        </w:rPr>
      </w:r>
    </w:p>
    <w:p>
      <w:pPr>
        <w:ind w:firstLine="0"/>
        <w:jc w:val="right"/>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right"/>
        <w:spacing w:line="240" w:lineRule="auto"/>
      </w:pPr>
      <w:r>
        <w:t xml:space="preserve">Таблица </w:t>
      </w:r>
      <w:r>
        <w:t xml:space="preserve">7</w:t>
      </w:r>
      <w:r/>
    </w:p>
    <w:p>
      <w:pPr>
        <w:ind w:firstLine="0"/>
        <w:jc w:val="center"/>
        <w:spacing w:line="240" w:lineRule="auto"/>
        <w:rPr>
          <w:rFonts w:eastAsia="Calibri"/>
          <w:b/>
          <w:color w:val="000000"/>
        </w:rPr>
      </w:pPr>
      <w:r>
        <w:rPr>
          <w:b/>
        </w:rPr>
        <w:t xml:space="preserve">Критерии оценки развития наркоситуации </w:t>
      </w:r>
      <w:r>
        <w:rPr>
          <w:b/>
        </w:rPr>
        <w:t xml:space="preserve">в</w:t>
      </w:r>
      <w:r>
        <w:rPr>
          <w:b/>
        </w:rPr>
        <w:t xml:space="preserve"> </w:t>
      </w:r>
      <w:r>
        <w:rPr>
          <w:rFonts w:eastAsia="Calibri"/>
          <w:b/>
          <w:color w:val="000000"/>
        </w:rPr>
        <w:t xml:space="preserve">Ханты-Мансийском</w:t>
      </w:r>
      <w:r>
        <w:rPr>
          <w:rFonts w:eastAsia="Calibri"/>
          <w:b/>
          <w:color w:val="000000"/>
        </w:rPr>
        <w:t xml:space="preserve"> автономном округе – Югре</w:t>
      </w:r>
      <w:r>
        <w:rPr>
          <w:rFonts w:eastAsia="Calibri"/>
          <w:b/>
          <w:color w:val="000000"/>
        </w:rPr>
      </w:r>
      <w:r>
        <w:rPr>
          <w:rFonts w:eastAsia="Calibri"/>
          <w:b/>
          <w:color w:val="000000"/>
        </w:rPr>
      </w:r>
    </w:p>
    <w:p>
      <w:pPr>
        <w:ind w:firstLine="0"/>
        <w:jc w:val="center"/>
        <w:spacing w:line="240" w:lineRule="auto"/>
        <w:rPr>
          <w:rFonts w:eastAsia="Calibri"/>
          <w:b/>
          <w:color w:val="000000"/>
        </w:rPr>
      </w:pPr>
      <w:r>
        <w:rPr>
          <w:rFonts w:eastAsia="Calibri"/>
          <w:b/>
          <w:color w:val="000000"/>
        </w:rPr>
        <w:t xml:space="preserve">в разрезе муниципальных образований в баллах</w:t>
      </w:r>
      <w:r>
        <w:rPr>
          <w:rFonts w:eastAsia="Calibri"/>
          <w:b/>
          <w:color w:val="000000"/>
        </w:rPr>
      </w:r>
      <w:r>
        <w:rPr>
          <w:rFonts w:eastAsia="Calibri"/>
          <w:b/>
          <w:color w:val="000000"/>
        </w:rPr>
      </w:r>
    </w:p>
    <w:tbl>
      <w:tblPr>
        <w:tblW w:w="14757" w:type="dxa"/>
        <w:tblInd w:w="93" w:type="dxa"/>
        <w:tblLayout w:type="fixed"/>
        <w:tblLook w:val="04A0" w:firstRow="1" w:lastRow="0" w:firstColumn="1" w:lastColumn="0" w:noHBand="0" w:noVBand="1"/>
      </w:tblPr>
      <w:tblGrid>
        <w:gridCol w:w="3134"/>
        <w:gridCol w:w="1417"/>
        <w:gridCol w:w="1134"/>
        <w:gridCol w:w="1418"/>
        <w:gridCol w:w="1276"/>
        <w:gridCol w:w="1417"/>
        <w:gridCol w:w="1134"/>
        <w:gridCol w:w="1276"/>
        <w:gridCol w:w="1276"/>
        <w:gridCol w:w="1275"/>
      </w:tblGrid>
      <w:tr>
        <w:trPr>
          <w:trHeight w:val="3710"/>
          <w:tblHeader/>
        </w:trPr>
        <w:tc>
          <w:tcPr>
            <w:shd w:val="clear" w:color="auto" w:fill="auto"/>
            <w:tcBorders>
              <w:top w:val="single" w:color="auto" w:sz="4" w:space="0"/>
              <w:left w:val="single" w:color="auto" w:sz="4" w:space="0"/>
              <w:bottom w:val="single" w:color="auto" w:sz="4" w:space="0"/>
              <w:right w:val="single" w:color="auto" w:sz="4" w:space="0"/>
            </w:tcBorders>
            <w:tcW w:w="3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r>
              <w:rPr>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7"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w:t>
            </w:r>
            <w:r>
              <w:rPr>
                <w:b/>
                <w:bCs/>
                <w:color w:val="000000"/>
                <w:sz w:val="23"/>
                <w:szCs w:val="23"/>
              </w:rPr>
              <w:t xml:space="preserve">1</w:t>
            </w:r>
            <w:r>
              <w:rPr>
                <w:b/>
                <w:bCs/>
                <w:color w:val="000000"/>
                <w:sz w:val="23"/>
                <w:szCs w:val="23"/>
              </w:rPr>
              <w:t xml:space="preserve">. Вовлеченность населения в незаконный оборот наркотиков</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134"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w:t>
            </w:r>
            <w:r>
              <w:rPr>
                <w:b/>
                <w:bCs/>
                <w:color w:val="000000"/>
                <w:sz w:val="23"/>
                <w:szCs w:val="23"/>
              </w:rPr>
              <w:t xml:space="preserve">2</w:t>
            </w:r>
            <w:r>
              <w:rPr>
                <w:b/>
                <w:bCs/>
                <w:color w:val="000000"/>
                <w:sz w:val="23"/>
                <w:szCs w:val="23"/>
              </w:rPr>
              <w:t xml:space="preserve">. Уровень вовлеченности несовершеннолетних в незаконный оборот наркотиков </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8"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ОП3. Криминогенность наркомании</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w:t>
            </w:r>
            <w:r>
              <w:rPr>
                <w:b/>
                <w:bCs/>
                <w:color w:val="000000"/>
                <w:sz w:val="23"/>
                <w:szCs w:val="23"/>
              </w:rPr>
              <w:t xml:space="preserve">4</w:t>
            </w:r>
            <w:r>
              <w:rPr>
                <w:b/>
                <w:bCs/>
                <w:color w:val="000000"/>
                <w:sz w:val="23"/>
                <w:szCs w:val="23"/>
              </w:rPr>
              <w:t xml:space="preserve">. Уровень криминогенности наркомании среди несовершеннолетних </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7"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w:t>
            </w:r>
            <w:r>
              <w:rPr>
                <w:b/>
                <w:bCs/>
                <w:color w:val="000000"/>
                <w:sz w:val="23"/>
                <w:szCs w:val="23"/>
              </w:rPr>
              <w:t xml:space="preserve">7</w:t>
            </w:r>
            <w:r>
              <w:rPr>
                <w:b/>
                <w:bCs/>
                <w:color w:val="000000"/>
                <w:sz w:val="23"/>
                <w:szCs w:val="23"/>
              </w:rPr>
              <w:t xml:space="preserve">. Уровень первичной заболеваемости наркологическими расстройствами, связанными с употреблением наркотиков</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134"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ОП8. Острые отравления наркотиками</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w:t>
            </w:r>
            <w:r>
              <w:rPr>
                <w:b/>
                <w:bCs/>
                <w:color w:val="000000"/>
                <w:sz w:val="23"/>
                <w:szCs w:val="23"/>
              </w:rPr>
              <w:t xml:space="preserve">9</w:t>
            </w:r>
            <w:r>
              <w:rPr>
                <w:b/>
                <w:bCs/>
                <w:color w:val="000000"/>
                <w:sz w:val="23"/>
                <w:szCs w:val="23"/>
              </w:rPr>
              <w:t xml:space="preserve">. Острые отравления наркотиками среди несовершеннолетних</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ОП10. Смертность, связанная с острым отравлением наркотиками</w:t>
            </w:r>
            <w:r>
              <w:rPr>
                <w:b/>
                <w:bCs/>
                <w:color w:val="000000"/>
                <w:sz w:val="23"/>
                <w:szCs w:val="23"/>
              </w:rPr>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ПрО. Предварительная итоговая оценка</w:t>
            </w:r>
            <w:r>
              <w:rPr>
                <w:b/>
                <w:bCs/>
                <w:color w:val="000000"/>
                <w:sz w:val="23"/>
                <w:szCs w:val="23"/>
              </w:rPr>
            </w:r>
            <w:r>
              <w:rPr>
                <w:b/>
                <w:bCs/>
                <w:color w:val="000000"/>
                <w:sz w:val="23"/>
                <w:szCs w:val="23"/>
              </w:rPr>
            </w:r>
          </w:p>
        </w:tc>
      </w:tr>
      <w:tr>
        <w:trPr>
          <w:trHeight w:val="255"/>
          <w:tblHeader/>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1</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2</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3</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4</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5</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6</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7</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8</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9</w:t>
            </w:r>
            <w:r>
              <w:rPr>
                <w:color w:val="000000"/>
                <w:sz w:val="20"/>
                <w:szCs w:val="20"/>
              </w:rPr>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5"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10</w:t>
            </w:r>
            <w:r>
              <w:rPr>
                <w:color w:val="000000"/>
                <w:sz w:val="20"/>
                <w:szCs w:val="20"/>
              </w:rPr>
            </w:r>
            <w:r>
              <w:rPr>
                <w:color w:val="000000"/>
                <w:sz w:val="20"/>
                <w:szCs w:val="20"/>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32,1</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15,0</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17,4</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45,9</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26,3</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5,5</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23,1</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17,7</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35,3</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96,2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46,0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63,5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40,1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Лангепас</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37,2</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41,1</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69,5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48,3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Мегион</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69,5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42,7</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85,3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47,1</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8,9</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11,6</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55,9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16,9</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26,2</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52,7</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66,3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42,2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39,0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Нягань</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61,4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72,7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64,2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24,8</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Покачи</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92,9</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40,3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Пыть-Ях</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67,5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18,7</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24,7</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18,2</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58,9</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70,3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56,4</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Урай</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36,9</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35,0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Югорск</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23,6</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14,7</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16,2</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76,2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43,4</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9,8</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35,2</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38,6</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47,5</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26,3</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51,3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11,8</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12,9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14,2</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19,1</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18,7</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26,1</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29,9</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94,5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20,5</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31,5</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13,3</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8,7</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80,3</w:t>
            </w:r>
            <w:r>
              <w:rPr>
                <w:color w:val="000000"/>
                <w:sz w:val="23"/>
                <w:szCs w:val="23"/>
              </w:rPr>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34,9</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53,6</w:t>
            </w:r>
            <w:r>
              <w:rPr>
                <w:color w:val="000000"/>
                <w:sz w:val="23"/>
                <w:szCs w:val="23"/>
              </w:rPr>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23,8</w:t>
            </w:r>
            <w:r>
              <w:rPr>
                <w:b/>
                <w:bCs/>
                <w:color w:val="000000"/>
                <w:sz w:val="23"/>
                <w:szCs w:val="23"/>
              </w:rPr>
            </w:r>
            <w:r>
              <w:rPr>
                <w:b/>
                <w:bCs/>
                <w:color w:val="000000"/>
                <w:sz w:val="23"/>
                <w:szCs w:val="23"/>
              </w:rPr>
            </w:r>
          </w:p>
        </w:tc>
      </w:tr>
    </w:tbl>
    <w:p>
      <w:pPr>
        <w:ind w:firstLine="0"/>
        <w:jc w:val="center"/>
        <w:spacing w:line="240" w:lineRule="auto"/>
        <w:rPr>
          <w:rFonts w:eastAsia="Calibri"/>
          <w:b/>
          <w:color w:val="000000"/>
        </w:rPr>
      </w:pPr>
      <w:r>
        <w:rPr>
          <w:rFonts w:eastAsia="Calibri"/>
          <w:b/>
          <w:color w:val="000000"/>
        </w:rPr>
      </w:r>
      <w:r>
        <w:rPr>
          <w:rFonts w:eastAsia="Calibri"/>
          <w:b/>
          <w:color w:val="000000"/>
        </w:rPr>
      </w:r>
      <w:r>
        <w:rPr>
          <w:rFonts w:eastAsia="Calibri"/>
          <w:b/>
          <w:color w:val="000000"/>
        </w:rPr>
      </w:r>
    </w:p>
    <w:p>
      <w:pPr>
        <w:ind w:left="108" w:firstLine="0"/>
        <w:jc w:val="left"/>
        <w:spacing w:line="240" w:lineRule="auto"/>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rPr>
          <w:b/>
          <w:bCs/>
          <w:color w:val="000000"/>
          <w:sz w:val="12"/>
          <w:szCs w:val="12"/>
        </w:rPr>
      </w:pPr>
      <w:r>
        <w:rPr>
          <w:b/>
          <w:bCs/>
          <w:color w:val="000000"/>
          <w:sz w:val="12"/>
          <w:szCs w:val="12"/>
        </w:rPr>
      </w:r>
      <w:r>
        <w:rPr>
          <w:b/>
          <w:bCs/>
          <w:color w:val="000000"/>
          <w:sz w:val="12"/>
          <w:szCs w:val="12"/>
        </w:rPr>
      </w:r>
      <w:r>
        <w:rPr>
          <w:b/>
          <w:bCs/>
          <w:color w:val="000000"/>
          <w:sz w:val="12"/>
          <w:szCs w:val="12"/>
        </w:rPr>
      </w:r>
    </w:p>
    <w:p>
      <w:pPr>
        <w:ind w:firstLine="709"/>
        <w:jc w:val="right"/>
        <w:spacing w:line="240" w:lineRule="auto"/>
      </w:pPr>
      <w:r>
        <mc:AlternateContent>
          <mc:Choice Requires="wpg">
            <w:drawing>
              <wp:inline xmlns:wp="http://schemas.openxmlformats.org/drawingml/2006/wordprocessingDrawing"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r/>
                      </pic:nvPicPr>
                      <pic:blipFill>
                        <a:blip r:embed="rId40"/>
                        <a:stretch/>
                      </pic:blipFill>
                      <pic:spPr bwMode="auto">
                        <a:xfrm>
                          <a:off x="0" y="0"/>
                          <a:ext cx="3693200" cy="8387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0pt;height:64.86pt;mso-wrap-distance-left:0.00pt;mso-wrap-distance-top:0.00pt;mso-wrap-distance-right:0.00pt;mso-wrap-distance-bottom:0.00pt;" stroked="false">
                <v:path textboxrect="0,0,0,0"/>
                <v:imagedata r:id="rId40" o:title=""/>
              </v:shape>
            </w:pict>
          </mc:Fallback>
        </mc:AlternateContent>
      </w:r>
      <w:r/>
    </w:p>
    <w:p>
      <w:pPr>
        <w:ind w:firstLine="709"/>
        <w:jc w:val="right"/>
        <w:spacing w:line="240" w:lineRule="auto"/>
      </w:pPr>
      <w:r/>
      <w:r/>
    </w:p>
    <w:p>
      <w:pPr>
        <w:ind w:firstLine="709"/>
        <w:spacing w:line="240" w:lineRule="auto"/>
        <w:sectPr>
          <w:footnotePr/>
          <w:endnotePr/>
          <w:type w:val="nextPage"/>
          <w:pgSz w:w="16838" w:h="11906" w:orient="landscape"/>
          <w:pgMar w:top="1701" w:right="1134" w:bottom="851" w:left="1134" w:header="709" w:footer="709" w:gutter="0"/>
          <w:cols w:num="1" w:sep="0" w:space="708" w:equalWidth="1"/>
          <w:docGrid w:linePitch="360"/>
        </w:sectPr>
      </w:pPr>
      <w:r/>
      <w:r/>
    </w:p>
    <w:p>
      <w:pPr>
        <w:ind w:firstLine="0"/>
        <w:jc w:val="center"/>
        <w:spacing w:line="240" w:lineRule="auto"/>
      </w:pPr>
      <w:r>
        <mc:AlternateContent>
          <mc:Choice Requires="wpg">
            <w:drawing>
              <wp:inline xmlns:wp="http://schemas.openxmlformats.org/drawingml/2006/wordprocessingDrawing" distT="0" distB="0" distL="0" distR="0">
                <wp:extent cx="8807516" cy="5128548"/>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4.jpg"/>
                        <pic:cNvPicPr>
                          <a:picLocks noChangeAspect="1"/>
                        </pic:cNvPicPr>
                        <pic:nvPr/>
                      </pic:nvPicPr>
                      <pic:blipFill>
                        <a:blip r:embed="rId41"/>
                        <a:stretch/>
                      </pic:blipFill>
                      <pic:spPr bwMode="auto">
                        <a:xfrm>
                          <a:off x="0" y="0"/>
                          <a:ext cx="8820487" cy="51361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3.51pt;height:403.82pt;mso-wrap-distance-left:0.00pt;mso-wrap-distance-top:0.00pt;mso-wrap-distance-right:0.00pt;mso-wrap-distance-bottom:0.00pt;" stroked="false">
                <v:path textboxrect="0,0,0,0"/>
                <v:imagedata r:id="rId41" o:title=""/>
              </v:shape>
            </w:pict>
          </mc:Fallback>
        </mc:AlternateContent>
      </w:r>
      <w:r/>
    </w:p>
    <w:p>
      <w:pPr>
        <w:ind w:firstLine="0"/>
        <w:jc w:val="center"/>
        <w:spacing w:line="240" w:lineRule="auto"/>
      </w:pPr>
      <w:r>
        <w:t xml:space="preserve">Рис.1</w:t>
      </w:r>
      <w:r>
        <w:t xml:space="preserve">6</w:t>
      </w:r>
      <w:r>
        <w:t xml:space="preserve">. Критерий оценки развития наркоситуации по оценочному показателю наркоситуации</w:t>
      </w:r>
      <w:r/>
    </w:p>
    <w:p>
      <w:pPr>
        <w:ind w:firstLine="0"/>
        <w:jc w:val="center"/>
        <w:spacing w:line="240" w:lineRule="auto"/>
        <w:rPr>
          <w:bCs/>
        </w:rPr>
      </w:pPr>
      <w:r>
        <w:rPr>
          <w:bCs/>
        </w:rPr>
        <w:t xml:space="preserve">«ОП</w:t>
      </w:r>
      <w:r>
        <w:rPr>
          <w:bCs/>
        </w:rPr>
        <w:t xml:space="preserve">1</w:t>
      </w:r>
      <w:r>
        <w:rPr>
          <w:bCs/>
        </w:rPr>
        <w:t xml:space="preserve">. Вовлеченность населения в незаконный оборот наркотиков» (картограмма)</w:t>
      </w:r>
      <w:r>
        <w:rPr>
          <w:bCs/>
        </w:rPr>
      </w:r>
      <w:r>
        <w:rPr>
          <w:bCs/>
        </w:rPr>
      </w:r>
    </w:p>
    <w:p>
      <w:pPr>
        <w:ind w:firstLine="0"/>
        <w:jc w:val="center"/>
        <w:spacing w:line="240" w:lineRule="auto"/>
        <w:rPr>
          <w:bCs/>
          <w:highlight w:val="yellow"/>
        </w:rPr>
      </w:pPr>
      <w:r>
        <w:rPr>
          <w:bCs/>
          <w:highlight w:val="yellow"/>
        </w:rPr>
      </w:r>
      <w:r>
        <w:rPr>
          <w:bCs/>
          <w:highlight w:val="yellow"/>
        </w:rPr>
      </w:r>
      <w:r>
        <w:rPr>
          <w:bCs/>
          <w:highlight w:val="yellow"/>
        </w:rPr>
      </w:r>
    </w:p>
    <w:p>
      <w:pPr>
        <w:ind w:firstLine="0"/>
        <w:jc w:val="center"/>
        <w:spacing w:line="240" w:lineRule="auto"/>
        <w:rPr>
          <w:bCs/>
        </w:rPr>
      </w:pPr>
      <w:r>
        <w:rPr>
          <w:bCs/>
        </w:rPr>
        <mc:AlternateContent>
          <mc:Choice Requires="wpg">
            <w:drawing>
              <wp:inline xmlns:wp="http://schemas.openxmlformats.org/drawingml/2006/wordprocessingDrawing" distT="0" distB="0" distL="0" distR="0">
                <wp:extent cx="8767761" cy="510540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4.jpg"/>
                        <pic:cNvPicPr>
                          <a:picLocks noChangeAspect="1"/>
                        </pic:cNvPicPr>
                        <pic:nvPr/>
                      </pic:nvPicPr>
                      <pic:blipFill>
                        <a:blip r:embed="rId42"/>
                        <a:stretch/>
                      </pic:blipFill>
                      <pic:spPr bwMode="auto">
                        <a:xfrm>
                          <a:off x="0" y="0"/>
                          <a:ext cx="8770771" cy="51071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690.37pt;height:402.00pt;mso-wrap-distance-left:0.00pt;mso-wrap-distance-top:0.00pt;mso-wrap-distance-right:0.00pt;mso-wrap-distance-bottom:0.00pt;" stroked="false">
                <v:path textboxrect="0,0,0,0"/>
                <v:imagedata r:id="rId42" o:title=""/>
              </v:shape>
            </w:pict>
          </mc:Fallback>
        </mc:AlternateContent>
      </w:r>
      <w:r>
        <w:rPr>
          <w:bCs/>
        </w:rPr>
      </w:r>
      <w:r>
        <w:rPr>
          <w:bCs/>
        </w:rPr>
      </w:r>
    </w:p>
    <w:p>
      <w:pPr>
        <w:ind w:firstLine="0"/>
        <w:jc w:val="center"/>
        <w:spacing w:line="240" w:lineRule="auto"/>
        <w:rPr>
          <w:bCs/>
        </w:rPr>
      </w:pPr>
      <w:r>
        <w:t xml:space="preserve">Рис. 1</w:t>
      </w:r>
      <w:r>
        <w:t xml:space="preserve">7</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w:rPr>
          <w:bCs/>
        </w:rPr>
        <w:t xml:space="preserve">«</w:t>
      </w:r>
      <w:r>
        <w:rPr>
          <w:bCs/>
        </w:rPr>
        <w:t xml:space="preserve">ОП.2. </w:t>
      </w:r>
      <w:r>
        <w:rPr>
          <w:bCs/>
        </w:rPr>
        <w:t xml:space="preserve">Уровень вовлеченности несовершеннолетних в незаконный оборот наркотиков» (картограмма)</w:t>
      </w:r>
      <w:r>
        <w:rPr>
          <w:bCs/>
        </w:rPr>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82265" cy="51720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4.jpg"/>
                        <pic:cNvPicPr>
                          <a:picLocks noChangeAspect="1"/>
                        </pic:cNvPicPr>
                        <pic:nvPr/>
                      </pic:nvPicPr>
                      <pic:blipFill>
                        <a:blip r:embed="rId43"/>
                        <a:stretch/>
                      </pic:blipFill>
                      <pic:spPr bwMode="auto">
                        <a:xfrm>
                          <a:off x="0" y="0"/>
                          <a:ext cx="8885314" cy="51738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699.39pt;height:407.25pt;mso-wrap-distance-left:0.00pt;mso-wrap-distance-top:0.00pt;mso-wrap-distance-right:0.00pt;mso-wrap-distance-bottom:0.00pt;" stroked="false">
                <v:path textboxrect="0,0,0,0"/>
                <v:imagedata r:id="rId43" o:title=""/>
              </v:shape>
            </w:pict>
          </mc:Fallback>
        </mc:AlternateContent>
      </w:r>
      <w:r/>
    </w:p>
    <w:p>
      <w:pPr>
        <w:ind w:firstLine="0"/>
        <w:jc w:val="center"/>
        <w:spacing w:line="240" w:lineRule="auto"/>
        <w:rPr>
          <w:bCs/>
        </w:rPr>
      </w:pPr>
      <w:r>
        <w:t xml:space="preserve">Рис. 1</w:t>
      </w:r>
      <w:r>
        <w:t xml:space="preserve">8</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w:rPr>
          <w:bCs/>
        </w:rPr>
        <w:t xml:space="preserve">«ОП3. Криминогенность наркомании» (картограмма)</w:t>
      </w:r>
      <w:r>
        <w:rPr>
          <w:bCs/>
        </w:rPr>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947696" cy="5210175"/>
                <wp:effectExtent l="0" t="0" r="635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4.jpg"/>
                        <pic:cNvPicPr>
                          <a:picLocks noChangeAspect="1"/>
                        </pic:cNvPicPr>
                        <pic:nvPr/>
                      </pic:nvPicPr>
                      <pic:blipFill>
                        <a:blip r:embed="rId44"/>
                        <a:stretch/>
                      </pic:blipFill>
                      <pic:spPr bwMode="auto">
                        <a:xfrm>
                          <a:off x="0" y="0"/>
                          <a:ext cx="8950768" cy="52119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4.54pt;height:410.25pt;mso-wrap-distance-left:0.00pt;mso-wrap-distance-top:0.00pt;mso-wrap-distance-right:0.00pt;mso-wrap-distance-bottom:0.00pt;" stroked="false">
                <v:path textboxrect="0,0,0,0"/>
                <v:imagedata r:id="rId44" o:title=""/>
              </v:shape>
            </w:pict>
          </mc:Fallback>
        </mc:AlternateContent>
      </w:r>
      <w:r/>
    </w:p>
    <w:p>
      <w:pPr>
        <w:ind w:firstLine="0"/>
        <w:jc w:val="center"/>
        <w:spacing w:line="240" w:lineRule="auto"/>
        <w:rPr>
          <w:bCs/>
        </w:rPr>
      </w:pPr>
      <w:r>
        <w:t xml:space="preserve">Рис. </w:t>
      </w:r>
      <w:r>
        <w:t xml:space="preserve">19</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w:rPr>
          <w:bCs/>
        </w:rPr>
        <w:t xml:space="preserve">«ОП</w:t>
      </w:r>
      <w:r>
        <w:rPr>
          <w:bCs/>
        </w:rPr>
        <w:t xml:space="preserve">4</w:t>
      </w:r>
      <w:r>
        <w:rPr>
          <w:bCs/>
        </w:rPr>
        <w:t xml:space="preserve">. Уровень криминогенности наркомании среди несовершеннолетних» (картограмма)</w:t>
      </w:r>
      <w:r>
        <w:rPr>
          <w:bCs/>
        </w:rPr>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65906" cy="5162550"/>
                <wp:effectExtent l="0" t="0" r="0"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7_Первичная заболеваемость в Югре_2024.jpg"/>
                        <pic:cNvPicPr>
                          <a:picLocks noChangeAspect="1"/>
                        </pic:cNvPicPr>
                        <pic:nvPr/>
                      </pic:nvPicPr>
                      <pic:blipFill>
                        <a:blip r:embed="rId45"/>
                        <a:stretch/>
                      </pic:blipFill>
                      <pic:spPr bwMode="auto">
                        <a:xfrm>
                          <a:off x="0" y="0"/>
                          <a:ext cx="8877356" cy="51692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698.10pt;height:406.50pt;mso-wrap-distance-left:0.00pt;mso-wrap-distance-top:0.00pt;mso-wrap-distance-right:0.00pt;mso-wrap-distance-bottom:0.00pt;" stroked="false">
                <v:path textboxrect="0,0,0,0"/>
                <v:imagedata r:id="rId45" o:title=""/>
              </v:shape>
            </w:pict>
          </mc:Fallback>
        </mc:AlternateContent>
      </w:r>
      <w:r/>
    </w:p>
    <w:p>
      <w:pPr>
        <w:ind w:firstLine="0"/>
        <w:jc w:val="center"/>
        <w:spacing w:line="240" w:lineRule="auto"/>
        <w:rPr>
          <w:bCs/>
        </w:rPr>
      </w:pPr>
      <w:r>
        <w:t xml:space="preserve">Рис. 2</w:t>
      </w:r>
      <w:r>
        <w:t xml:space="preserve">0</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w:rPr>
          <w:bCs/>
        </w:rPr>
        <w:t xml:space="preserve">«ОП</w:t>
      </w:r>
      <w:r>
        <w:rPr>
          <w:bCs/>
        </w:rPr>
        <w:t xml:space="preserve">7</w:t>
      </w:r>
      <w:r>
        <w:rPr>
          <w:bCs/>
        </w:rPr>
        <w:t xml:space="preserve">. У</w:t>
      </w:r>
      <w:r>
        <w:t xml:space="preserve">ровень первичной заболеваемости наркоманией</w:t>
      </w:r>
      <w:r>
        <w:rPr>
          <w:bCs/>
        </w:rPr>
        <w:t xml:space="preserve">» (картограмма)</w:t>
      </w:r>
      <w:r>
        <w:rPr>
          <w:bCs/>
        </w:rPr>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20150" cy="5135906"/>
                <wp:effectExtent l="0" t="0" r="0" b="762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8_Острые отравления наркотиками в Югре_2024.jpg"/>
                        <pic:cNvPicPr>
                          <a:picLocks noChangeAspect="1"/>
                        </pic:cNvPicPr>
                        <pic:nvPr/>
                      </pic:nvPicPr>
                      <pic:blipFill>
                        <a:blip r:embed="rId46"/>
                        <a:stretch/>
                      </pic:blipFill>
                      <pic:spPr bwMode="auto">
                        <a:xfrm>
                          <a:off x="0" y="0"/>
                          <a:ext cx="8823178" cy="51376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694.50pt;height:404.40pt;mso-wrap-distance-left:0.00pt;mso-wrap-distance-top:0.00pt;mso-wrap-distance-right:0.00pt;mso-wrap-distance-bottom:0.00pt;" stroked="false">
                <v:path textboxrect="0,0,0,0"/>
                <v:imagedata r:id="rId46" o:title=""/>
              </v:shape>
            </w:pict>
          </mc:Fallback>
        </mc:AlternateContent>
      </w:r>
      <w:r/>
    </w:p>
    <w:p>
      <w:pPr>
        <w:ind w:firstLine="0"/>
        <w:jc w:val="center"/>
        <w:spacing w:line="240" w:lineRule="auto"/>
        <w:rPr>
          <w:bCs/>
        </w:rPr>
      </w:pPr>
      <w:r>
        <w:t xml:space="preserve">Рис. 2</w:t>
      </w:r>
      <w:r>
        <w:t xml:space="preserve">1</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pPr>
      <w:r>
        <w:rPr>
          <w:bCs/>
        </w:rPr>
        <w:t xml:space="preserve">«ОП8. О</w:t>
      </w:r>
      <w:r>
        <w:t xml:space="preserve">стрые отравления наркотиками</w:t>
      </w:r>
      <w:r>
        <w:rPr>
          <w:bCs/>
        </w:rPr>
        <w:t xml:space="preserve">» (картограмма)</w:t>
      </w: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77300" cy="5169184"/>
                <wp:effectExtent l="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9_Острые отравления несовершеннолетних в Югре_2024.jpg"/>
                        <pic:cNvPicPr>
                          <a:picLocks noChangeAspect="1"/>
                        </pic:cNvPicPr>
                        <pic:nvPr/>
                      </pic:nvPicPr>
                      <pic:blipFill>
                        <a:blip r:embed="rId47"/>
                        <a:stretch/>
                      </pic:blipFill>
                      <pic:spPr bwMode="auto">
                        <a:xfrm>
                          <a:off x="0" y="0"/>
                          <a:ext cx="8880347" cy="51709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699.00pt;height:407.02pt;mso-wrap-distance-left:0.00pt;mso-wrap-distance-top:0.00pt;mso-wrap-distance-right:0.00pt;mso-wrap-distance-bottom:0.00pt;" stroked="false">
                <v:path textboxrect="0,0,0,0"/>
                <v:imagedata r:id="rId47" o:title=""/>
              </v:shape>
            </w:pict>
          </mc:Fallback>
        </mc:AlternateContent>
      </w:r>
      <w:r/>
    </w:p>
    <w:p>
      <w:pPr>
        <w:ind w:firstLine="0"/>
        <w:jc w:val="center"/>
        <w:spacing w:line="240" w:lineRule="auto"/>
        <w:rPr>
          <w:bCs/>
        </w:rPr>
      </w:pPr>
      <w:r>
        <w:t xml:space="preserve">Рис. 2</w:t>
      </w:r>
      <w:r>
        <w:t xml:space="preserve">2</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rPr>
          <w:bCs/>
        </w:rPr>
      </w:pPr>
      <w:r>
        <w:rPr>
          <w:bCs/>
        </w:rPr>
        <w:t xml:space="preserve">«ОП</w:t>
      </w:r>
      <w:r>
        <w:rPr>
          <w:bCs/>
        </w:rPr>
        <w:t xml:space="preserve">9</w:t>
      </w:r>
      <w:r>
        <w:rPr>
          <w:bCs/>
        </w:rPr>
        <w:t xml:space="preserve">. О</w:t>
      </w:r>
      <w:r>
        <w:t xml:space="preserve">стрые отравления наркотиками среди несовершеннолетних</w:t>
      </w:r>
      <w:r>
        <w:rPr>
          <w:bCs/>
        </w:rPr>
        <w:t xml:space="preserve">» (картограмма)</w:t>
      </w:r>
      <w:r>
        <w:rPr>
          <w:bCs/>
        </w:rPr>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33192" cy="5143500"/>
                <wp:effectExtent l="0" t="0" r="635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4.jpg"/>
                        <pic:cNvPicPr>
                          <a:picLocks noChangeAspect="1"/>
                        </pic:cNvPicPr>
                        <pic:nvPr/>
                      </pic:nvPicPr>
                      <pic:blipFill>
                        <a:blip r:embed="rId48"/>
                        <a:stretch/>
                      </pic:blipFill>
                      <pic:spPr bwMode="auto">
                        <a:xfrm>
                          <a:off x="0" y="0"/>
                          <a:ext cx="8836224" cy="51452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695.53pt;height:405.00pt;mso-wrap-distance-left:0.00pt;mso-wrap-distance-top:0.00pt;mso-wrap-distance-right:0.00pt;mso-wrap-distance-bottom:0.00pt;" stroked="false">
                <v:path textboxrect="0,0,0,0"/>
                <v:imagedata r:id="rId48" o:title=""/>
              </v:shape>
            </w:pict>
          </mc:Fallback>
        </mc:AlternateContent>
      </w:r>
      <w:r/>
    </w:p>
    <w:p>
      <w:pPr>
        <w:ind w:firstLine="0"/>
        <w:jc w:val="center"/>
        <w:spacing w:line="240" w:lineRule="auto"/>
        <w:rPr>
          <w:bCs/>
        </w:rPr>
      </w:pPr>
      <w:r>
        <w:t xml:space="preserve">Рис. 2</w:t>
      </w:r>
      <w:r>
        <w:t xml:space="preserve">3</w:t>
      </w:r>
      <w:r>
        <w:t xml:space="preserve">. </w:t>
      </w:r>
      <w:r>
        <w:t xml:space="preserve">Критерий оценки развития наркоситуации по оценочному показателю наркоситуации</w:t>
      </w:r>
      <w:r>
        <w:rPr>
          <w:bCs/>
        </w:rPr>
      </w:r>
      <w:r>
        <w:rPr>
          <w:bCs/>
        </w:rPr>
      </w:r>
    </w:p>
    <w:p>
      <w:pPr>
        <w:ind w:firstLine="0"/>
        <w:jc w:val="center"/>
        <w:spacing w:line="240" w:lineRule="auto"/>
      </w:pPr>
      <w:r>
        <w:rPr>
          <w:bCs/>
        </w:rPr>
        <w:t xml:space="preserve">«ОП10. С</w:t>
      </w:r>
      <w:r>
        <w:t xml:space="preserve">мертность, связанная с острым отравлением наркотиками</w:t>
      </w:r>
      <w:r>
        <w:rPr>
          <w:bCs/>
        </w:rPr>
        <w:t xml:space="preserve">» (картограмма)</w:t>
      </w: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58250" cy="5158091"/>
                <wp:effectExtent l="0" t="0" r="0" b="508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2971" name="ПрО_Предварительная оценка по Югре_2024.jpg"/>
                        <pic:cNvPicPr>
                          <a:picLocks noChangeAspect="1"/>
                        </pic:cNvPicPr>
                        <pic:nvPr/>
                      </pic:nvPicPr>
                      <pic:blipFill>
                        <a:blip r:embed="rId49"/>
                        <a:stretch/>
                      </pic:blipFill>
                      <pic:spPr bwMode="auto">
                        <a:xfrm>
                          <a:off x="0" y="0"/>
                          <a:ext cx="8861290" cy="51598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97.50pt;height:406.15pt;mso-wrap-distance-left:0.00pt;mso-wrap-distance-top:0.00pt;mso-wrap-distance-right:0.00pt;mso-wrap-distance-bottom:0.00pt;" stroked="false">
                <v:path textboxrect="0,0,0,0"/>
                <v:imagedata r:id="rId49" o:title=""/>
              </v:shape>
            </w:pict>
          </mc:Fallback>
        </mc:AlternateContent>
      </w:r>
      <w:r/>
    </w:p>
    <w:p>
      <w:pPr>
        <w:ind w:firstLine="0"/>
        <w:jc w:val="center"/>
        <w:spacing w:line="240" w:lineRule="auto"/>
        <w:rPr>
          <w:bCs/>
        </w:rPr>
      </w:pPr>
      <w:r>
        <w:t xml:space="preserve">Рис. 2</w:t>
      </w:r>
      <w:r>
        <w:t xml:space="preserve">4</w:t>
      </w:r>
      <w:r>
        <w:t xml:space="preserve">. Предварительная итоговая оценка наркоситуации в динамике</w:t>
      </w:r>
      <w:r>
        <w:rPr>
          <w:bCs/>
        </w:rPr>
        <w:t xml:space="preserve"> (картограмма)</w:t>
      </w:r>
      <w:r>
        <w:rPr>
          <w:bCs/>
        </w:rPr>
      </w:r>
      <w:r>
        <w:rPr>
          <w:bCs/>
        </w:rPr>
      </w:r>
    </w:p>
    <w:p>
      <w:pPr>
        <w:ind w:firstLine="0"/>
        <w:jc w:val="center"/>
        <w:spacing w:line="240" w:lineRule="auto"/>
        <w:rPr>
          <w:b/>
        </w:rPr>
        <w:sectPr>
          <w:footnotePr/>
          <w:endnotePr/>
          <w:type w:val="nextPage"/>
          <w:pgSz w:w="16838" w:h="11906" w:orient="landscape"/>
          <w:pgMar w:top="1701" w:right="1134" w:bottom="851" w:left="1134" w:header="709" w:footer="709" w:gutter="0"/>
          <w:cols w:num="1" w:sep="0" w:space="708" w:equalWidth="1"/>
          <w:docGrid w:linePitch="360"/>
        </w:sectPr>
      </w:pPr>
      <w:r>
        <w:rPr>
          <w:b/>
        </w:rPr>
      </w:r>
      <w:r>
        <w:rPr>
          <w:b/>
        </w:rPr>
      </w:r>
      <w:r>
        <w:rPr>
          <w:b/>
        </w:rPr>
      </w:r>
    </w:p>
    <w:p>
      <w:pPr>
        <w:ind w:firstLine="709"/>
        <w:jc w:val="right"/>
        <w:spacing w:line="240" w:lineRule="auto"/>
      </w:pPr>
      <w:r>
        <w:t xml:space="preserve">Таблица </w:t>
      </w:r>
      <w:r>
        <w:t xml:space="preserve">8</w:t>
      </w:r>
      <w:r/>
    </w:p>
    <w:p>
      <w:pPr>
        <w:ind w:firstLine="0"/>
        <w:jc w:val="center"/>
        <w:spacing w:line="240" w:lineRule="auto"/>
        <w:rPr>
          <w:b/>
        </w:rPr>
      </w:pPr>
      <w:r>
        <w:rPr>
          <w:b/>
        </w:rPr>
        <w:t xml:space="preserve">Предварительная итоговая оценка наркоситуации в разрезе муниципальных образований </w:t>
      </w:r>
      <w:r>
        <w:rPr>
          <w:b/>
        </w:rPr>
        <w:br/>
        <w:t xml:space="preserve">ХМАО-Югры в динамике за 202</w:t>
      </w:r>
      <w:r>
        <w:rPr>
          <w:b/>
        </w:rPr>
        <w:t xml:space="preserve">2</w:t>
      </w:r>
      <w:r>
        <w:rPr>
          <w:b/>
        </w:rPr>
        <w:t xml:space="preserve">-202</w:t>
      </w:r>
      <w:r>
        <w:rPr>
          <w:b/>
        </w:rPr>
        <w:t xml:space="preserve">4</w:t>
      </w:r>
      <w:r>
        <w:rPr>
          <w:b/>
        </w:rPr>
        <w:t xml:space="preserve"> годы, в баллах</w:t>
      </w:r>
      <w:r>
        <w:rPr>
          <w:b/>
        </w:rPr>
      </w:r>
      <w:r>
        <w:rPr>
          <w:b/>
        </w:rPr>
      </w:r>
    </w:p>
    <w:tbl>
      <w:tblPr>
        <w:tblW w:w="14780" w:type="dxa"/>
        <w:tblInd w:w="93" w:type="dxa"/>
        <w:tblLook w:val="04A0" w:firstRow="1" w:lastRow="0" w:firstColumn="1" w:lastColumn="0" w:noHBand="0" w:noVBand="1"/>
      </w:tblPr>
      <w:tblGrid>
        <w:gridCol w:w="4540"/>
        <w:gridCol w:w="1840"/>
        <w:gridCol w:w="1840"/>
        <w:gridCol w:w="1840"/>
        <w:gridCol w:w="2360"/>
        <w:gridCol w:w="2360"/>
      </w:tblGrid>
      <w:tr>
        <w:trPr>
          <w:trHeight w:val="227"/>
        </w:trPr>
        <w:tc>
          <w:tcPr>
            <w:shd w:val="clear" w:color="auto" w:fill="auto"/>
            <w:tcBorders>
              <w:top w:val="single" w:color="auto" w:sz="8" w:space="0"/>
              <w:left w:val="single" w:color="auto" w:sz="8" w:space="0"/>
              <w:bottom w:val="single" w:color="000000" w:sz="8" w:space="0"/>
              <w:right w:val="none" w:color="000000" w:sz="4" w:space="0"/>
            </w:tcBorders>
            <w:tcW w:w="4540" w:type="dxa"/>
            <w:vAlign w:val="center"/>
            <w:vMerge w:val="restart"/>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r>
              <w:rPr>
                <w:color w:val="000000"/>
                <w:sz w:val="23"/>
                <w:szCs w:val="23"/>
              </w:rPr>
            </w:r>
          </w:p>
        </w:tc>
        <w:tc>
          <w:tcPr>
            <w:gridSpan w:val="3"/>
            <w:shd w:val="clear" w:color="auto" w:fill="auto"/>
            <w:tcBorders>
              <w:top w:val="single" w:color="auto" w:sz="8" w:space="0"/>
              <w:left w:val="single" w:color="auto" w:sz="8" w:space="0"/>
              <w:bottom w:val="single" w:color="auto" w:sz="4" w:space="0"/>
              <w:right w:val="single" w:color="000000" w:sz="8" w:space="0"/>
            </w:tcBorders>
            <w:tcW w:w="552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ПрО. Предварительная итоговая оценка</w:t>
            </w:r>
            <w:r>
              <w:rPr>
                <w:b/>
                <w:bCs/>
                <w:color w:val="000000"/>
                <w:sz w:val="23"/>
                <w:szCs w:val="23"/>
              </w:rPr>
            </w:r>
            <w:r>
              <w:rPr>
                <w:b/>
                <w:bCs/>
                <w:color w:val="000000"/>
                <w:sz w:val="23"/>
                <w:szCs w:val="23"/>
              </w:rPr>
            </w:r>
          </w:p>
        </w:tc>
        <w:tc>
          <w:tcPr>
            <w:gridSpan w:val="2"/>
            <w:shd w:val="clear" w:color="auto" w:fill="auto"/>
            <w:tcBorders>
              <w:top w:val="single" w:color="auto" w:sz="8" w:space="0"/>
              <w:left w:val="none" w:color="000000" w:sz="4" w:space="0"/>
              <w:bottom w:val="single" w:color="auto" w:sz="4" w:space="0"/>
              <w:right w:val="single" w:color="000000" w:sz="8" w:space="0"/>
            </w:tcBorders>
            <w:tcW w:w="472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Динамика показателя за 2022-2024 гг.</w:t>
            </w:r>
            <w:r>
              <w:rPr>
                <w:b/>
                <w:bCs/>
                <w:color w:val="000000"/>
                <w:sz w:val="23"/>
                <w:szCs w:val="23"/>
              </w:rPr>
            </w:r>
            <w:r>
              <w:rPr>
                <w:b/>
                <w:bCs/>
                <w:color w:val="000000"/>
                <w:sz w:val="23"/>
                <w:szCs w:val="23"/>
              </w:rPr>
            </w:r>
          </w:p>
        </w:tc>
      </w:tr>
      <w:tr>
        <w:trPr>
          <w:trHeight w:val="227"/>
        </w:trPr>
        <w:tc>
          <w:tcPr>
            <w:tcBorders>
              <w:top w:val="single" w:color="auto" w:sz="8" w:space="0"/>
              <w:left w:val="single" w:color="auto" w:sz="8" w:space="0"/>
              <w:bottom w:val="single" w:color="000000" w:sz="8" w:space="0"/>
              <w:right w:val="none" w:color="000000" w:sz="4" w:space="0"/>
            </w:tcBorders>
            <w:tcW w:w="4540" w:type="dxa"/>
            <w:vAlign w:val="center"/>
            <w:vMerge w:val="continue"/>
            <w:textDirection w:val="lrTb"/>
            <w:noWrap w:val="false"/>
          </w:tcPr>
          <w:p>
            <w:pPr>
              <w:ind w:firstLine="0"/>
              <w:jc w:val="left"/>
              <w:spacing w:line="240" w:lineRule="auto"/>
              <w:rPr>
                <w:color w:val="000000"/>
                <w:sz w:val="23"/>
                <w:szCs w:val="23"/>
              </w:rPr>
            </w:pPr>
            <w:r>
              <w:rPr>
                <w:color w:val="000000"/>
                <w:sz w:val="23"/>
                <w:szCs w:val="23"/>
              </w:rPr>
            </w:r>
            <w:r>
              <w:rPr>
                <w:color w:val="000000"/>
                <w:sz w:val="23"/>
                <w:szCs w:val="23"/>
              </w:rPr>
            </w:r>
            <w:r>
              <w:rPr>
                <w:color w:val="000000"/>
                <w:sz w:val="23"/>
                <w:szCs w:val="23"/>
              </w:rPr>
            </w:r>
          </w:p>
        </w:tc>
        <w:tc>
          <w:tcPr>
            <w:shd w:val="clear" w:color="auto" w:fill="auto"/>
            <w:tcBorders>
              <w:top w:val="none" w:color="000000"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2022 год</w:t>
            </w:r>
            <w:r>
              <w:rPr>
                <w:color w:val="000000"/>
                <w:sz w:val="23"/>
                <w:szCs w:val="23"/>
              </w:rPr>
            </w:r>
            <w:r>
              <w:rPr>
                <w:color w:val="000000"/>
                <w:sz w:val="23"/>
                <w:szCs w:val="23"/>
              </w:rPr>
            </w:r>
          </w:p>
        </w:tc>
        <w:tc>
          <w:tcPr>
            <w:shd w:val="clear" w:color="auto" w:fill="auto"/>
            <w:tcBorders>
              <w:top w:val="single" w:color="auto" w:sz="4" w:space="0"/>
              <w:left w:val="none" w:color="000000" w:sz="4" w:space="0"/>
              <w:bottom w:val="single" w:color="auto" w:sz="4" w:space="0"/>
              <w:right w:val="single" w:color="auto" w:sz="4"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2023 год</w:t>
            </w:r>
            <w:r>
              <w:rPr>
                <w:color w:val="000000"/>
                <w:sz w:val="23"/>
                <w:szCs w:val="23"/>
              </w:rPr>
            </w:r>
            <w:r>
              <w:rPr>
                <w:color w:val="000000"/>
                <w:sz w:val="23"/>
                <w:szCs w:val="23"/>
              </w:rPr>
            </w:r>
          </w:p>
        </w:tc>
        <w:tc>
          <w:tcPr>
            <w:shd w:val="clear" w:color="auto" w:fill="auto"/>
            <w:tcBorders>
              <w:top w:val="none" w:color="000000"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год</w:t>
            </w:r>
            <w:r>
              <w:rPr>
                <w:color w:val="000000"/>
                <w:sz w:val="23"/>
                <w:szCs w:val="23"/>
              </w:rPr>
            </w:r>
            <w:r>
              <w:rPr>
                <w:color w:val="000000"/>
                <w:sz w:val="23"/>
                <w:szCs w:val="23"/>
              </w:rPr>
            </w:r>
          </w:p>
        </w:tc>
        <w:tc>
          <w:tcPr>
            <w:shd w:val="clear" w:color="auto" w:fill="auto"/>
            <w:tcBorders>
              <w:top w:val="none" w:color="000000" w:sz="4" w:space="0"/>
              <w:left w:val="none" w:color="000000" w:sz="4" w:space="0"/>
              <w:bottom w:val="single" w:color="auto" w:sz="8" w:space="0"/>
              <w:right w:val="single" w:color="auto" w:sz="4" w:space="0"/>
            </w:tcBorders>
            <w:tcW w:w="236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к значению 2023 года</w:t>
            </w:r>
            <w:r>
              <w:rPr>
                <w:color w:val="000000"/>
                <w:sz w:val="23"/>
                <w:szCs w:val="23"/>
              </w:rPr>
            </w:r>
            <w:r>
              <w:rPr>
                <w:color w:val="000000"/>
                <w:sz w:val="23"/>
                <w:szCs w:val="23"/>
              </w:rPr>
            </w:r>
          </w:p>
        </w:tc>
        <w:tc>
          <w:tcPr>
            <w:shd w:val="clear" w:color="auto" w:fill="auto"/>
            <w:tcBorders>
              <w:top w:val="none" w:color="000000" w:sz="4" w:space="0"/>
              <w:left w:val="single" w:color="auto" w:sz="4" w:space="0"/>
              <w:bottom w:val="single" w:color="auto" w:sz="8" w:space="0"/>
              <w:right w:val="single" w:color="auto" w:sz="8" w:space="0"/>
            </w:tcBorders>
            <w:tcW w:w="236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к значению 2022 года</w:t>
            </w:r>
            <w:r>
              <w:rPr>
                <w:color w:val="000000"/>
                <w:sz w:val="23"/>
                <w:szCs w:val="23"/>
              </w:rPr>
            </w:r>
            <w:r>
              <w:rPr>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r>
              <w:rPr>
                <w:b/>
                <w:bCs/>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42,7</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37,8</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29,4</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-8,4</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-13,3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26,8</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31,1</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Лангепас</w:t>
            </w:r>
            <w:r>
              <w:rPr>
                <w:color w:val="000000"/>
                <w:sz w:val="23"/>
                <w:szCs w:val="23"/>
              </w:rPr>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52,6</w:t>
            </w:r>
            <w:r>
              <w:rPr>
                <w:b/>
                <w:bCs/>
                <w:color w:val="000000"/>
                <w:sz w:val="23"/>
                <w:szCs w:val="23"/>
              </w:rPr>
            </w:r>
            <w:r>
              <w:rPr>
                <w:b/>
                <w:bCs/>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72,2</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48,3</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Мегион</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45,8</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41,5</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47,1</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17,2</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16,8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11,6</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-5,6</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34,6</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38,4</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39,0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Нягань</w:t>
            </w:r>
            <w:r>
              <w:rPr>
                <w:color w:val="000000"/>
                <w:sz w:val="23"/>
                <w:szCs w:val="23"/>
              </w:rPr>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54,1</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24,1</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24,8</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0,6</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Покачи</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9,8</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Пыть-Ях</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40,6</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23,2</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10,2</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66,7</w:t>
            </w:r>
            <w:r>
              <w:rPr>
                <w:b/>
                <w:bCs/>
                <w:color w:val="000000"/>
                <w:sz w:val="23"/>
                <w:szCs w:val="23"/>
              </w:rPr>
            </w:r>
            <w:r>
              <w:rPr>
                <w:b/>
                <w:bCs/>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67,7</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43,2</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-24,4</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Урай</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19,3</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38,1</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35,0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Югорск</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27,8</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25,4</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34,2</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8,8</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6,6</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6,5</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-5,1</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-5,3</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6,4</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18,2</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15,9</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9,4</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30,4</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21,0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14,5</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22,1</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13,8</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16,5</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15,9</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11,3</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 район</w:t>
            </w:r>
            <w:r>
              <w:rPr>
                <w:color w:val="000000"/>
                <w:sz w:val="23"/>
                <w:szCs w:val="23"/>
              </w:rPr>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44,0</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26,4</w:t>
            </w:r>
            <w:r>
              <w:rPr>
                <w:b/>
                <w:bCs/>
                <w:color w:val="000000"/>
                <w:sz w:val="23"/>
                <w:szCs w:val="23"/>
              </w:rPr>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30,0</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-14,0</w:t>
            </w:r>
            <w:r>
              <w:rPr>
                <w:b/>
                <w:bCs/>
                <w:color w:val="000000"/>
                <w:sz w:val="23"/>
                <w:szCs w:val="23"/>
              </w:rPr>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r>
              <w:rPr>
                <w:color w:val="000000"/>
                <w:sz w:val="23"/>
                <w:szCs w:val="23"/>
              </w:rPr>
            </w:r>
          </w:p>
        </w:tc>
        <w:tc>
          <w:tcPr>
            <w:shd w:val="clear" w:color="000000" w:fill="afdd7d"/>
            <w:tcBorders>
              <w:top w:val="single" w:color="auto" w:sz="4" w:space="0"/>
              <w:left w:val="single" w:color="auto" w:sz="8" w:space="0"/>
              <w:bottom w:val="single" w:color="auto" w:sz="8"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8"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w:t>
            </w:r>
            <w:r>
              <w:rPr>
                <w:b/>
                <w:bCs/>
                <w:color w:val="000000"/>
                <w:sz w:val="23"/>
                <w:szCs w:val="23"/>
              </w:rPr>
            </w:r>
            <w:r>
              <w:rPr>
                <w:b/>
                <w:bCs/>
                <w:color w:val="000000"/>
                <w:sz w:val="23"/>
                <w:szCs w:val="23"/>
              </w:rPr>
            </w:r>
          </w:p>
        </w:tc>
        <w:tc>
          <w:tcPr>
            <w:shd w:val="clear" w:color="000000" w:fill="afdd7d"/>
            <w:tcBorders>
              <w:top w:val="single" w:color="auto" w:sz="4" w:space="0"/>
              <w:left w:val="single" w:color="auto" w:sz="4" w:space="0"/>
              <w:bottom w:val="single" w:color="auto" w:sz="8"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23,8</w:t>
            </w:r>
            <w:r>
              <w:rPr>
                <w:b/>
                <w:bCs/>
                <w:color w:val="000000"/>
                <w:sz w:val="23"/>
                <w:szCs w:val="23"/>
              </w:rPr>
            </w:r>
            <w:r>
              <w:rPr>
                <w:b/>
                <w:bCs/>
                <w:color w:val="000000"/>
                <w:sz w:val="23"/>
                <w:szCs w:val="23"/>
              </w:rPr>
            </w:r>
          </w:p>
        </w:tc>
        <w:tc>
          <w:tcPr>
            <w:shd w:val="clear" w:color="auto" w:fill="auto"/>
            <w:tcBorders>
              <w:top w:val="none" w:color="000000" w:sz="4" w:space="0"/>
              <w:left w:val="none" w:color="000000" w:sz="4" w:space="0"/>
              <w:bottom w:val="single" w:color="auto" w:sz="8"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19,6</w:t>
            </w:r>
            <w:r>
              <w:rPr>
                <w:b/>
                <w:bCs/>
                <w:color w:val="000000"/>
                <w:sz w:val="23"/>
                <w:szCs w:val="23"/>
              </w:rPr>
            </w:r>
            <w:r>
              <w:rPr>
                <w:b/>
                <w:bCs/>
                <w:color w:val="000000"/>
                <w:sz w:val="23"/>
                <w:szCs w:val="23"/>
              </w:rPr>
            </w:r>
          </w:p>
        </w:tc>
        <w:tc>
          <w:tcPr>
            <w:shd w:val="clear" w:color="auto" w:fill="auto"/>
            <w:tcBorders>
              <w:top w:val="none" w:color="000000" w:sz="4" w:space="0"/>
              <w:left w:val="single" w:color="auto" w:sz="4" w:space="0"/>
              <w:bottom w:val="single" w:color="auto" w:sz="8"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8,1</w:t>
            </w:r>
            <w:r>
              <w:rPr>
                <w:b/>
                <w:bCs/>
                <w:color w:val="000000"/>
                <w:sz w:val="23"/>
                <w:szCs w:val="23"/>
              </w:rPr>
            </w:r>
            <w:r>
              <w:rPr>
                <w:b/>
                <w:bCs/>
                <w:color w:val="000000"/>
                <w:sz w:val="23"/>
                <w:szCs w:val="23"/>
              </w:rPr>
            </w:r>
          </w:p>
        </w:tc>
      </w:tr>
    </w:tbl>
    <w:p>
      <w:pPr>
        <w:ind w:firstLine="709"/>
        <w:spacing w:line="276" w:lineRule="auto"/>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r>
        <w:rPr>
          <w:highlight w:val="yellow"/>
        </w:rPr>
      </w:r>
    </w:p>
    <w:p>
      <w:pPr>
        <w:ind w:firstLine="709"/>
        <w:spacing w:line="276" w:lineRule="auto"/>
      </w:pPr>
      <w:r>
        <w:t xml:space="preserve">Таким образом, </w:t>
      </w:r>
      <w:r>
        <w:t xml:space="preserve">значение </w:t>
      </w:r>
      <w:r>
        <w:t xml:space="preserve">предварительн</w:t>
      </w:r>
      <w:r>
        <w:t xml:space="preserve">ой</w:t>
      </w:r>
      <w:r>
        <w:t xml:space="preserve"> итогов</w:t>
      </w:r>
      <w:r>
        <w:t xml:space="preserve">ой</w:t>
      </w:r>
      <w:r>
        <w:t xml:space="preserve"> оценк</w:t>
      </w:r>
      <w:r>
        <w:t xml:space="preserve">и</w:t>
      </w:r>
      <w:r>
        <w:t xml:space="preserve"> </w:t>
      </w:r>
      <w:r>
        <w:t xml:space="preserve">за 202</w:t>
      </w:r>
      <w:r>
        <w:t xml:space="preserve">4</w:t>
      </w:r>
      <w:r>
        <w:t xml:space="preserve"> год </w:t>
      </w:r>
      <w:r>
        <w:t xml:space="preserve">позволяет интерпретировать наркоситуацию в Ханты-Мансийском автономном округе – Югре как </w:t>
      </w:r>
      <w:r>
        <w:rPr>
          <w:b/>
          <w:bCs/>
          <w:i/>
          <w:iCs/>
        </w:rPr>
        <w:t xml:space="preserve">нейтральную</w:t>
      </w:r>
      <w:r>
        <w:t xml:space="preserve"> (</w:t>
      </w:r>
      <w:r>
        <w:t xml:space="preserve">2</w:t>
      </w:r>
      <w:r>
        <w:t xml:space="preserve">5</w:t>
      </w:r>
      <w:r>
        <w:t xml:space="preserve">,</w:t>
      </w:r>
      <w:r>
        <w:t xml:space="preserve">0</w:t>
      </w:r>
      <w:r>
        <w:t xml:space="preserve"> балла из 100 возможных). В сравнении с 202</w:t>
      </w:r>
      <w:r>
        <w:t xml:space="preserve">2</w:t>
      </w:r>
      <w:r>
        <w:t xml:space="preserve"> годом ситуация </w:t>
      </w:r>
      <w:r>
        <w:t xml:space="preserve">улучшилась</w:t>
      </w:r>
      <w:r>
        <w:t xml:space="preserve"> </w:t>
      </w:r>
      <w:r>
        <w:t xml:space="preserve">(-</w:t>
      </w:r>
      <w:r>
        <w:t xml:space="preserve">1,8</w:t>
      </w:r>
      <w:r>
        <w:t xml:space="preserve"> балла)</w:t>
      </w:r>
      <w:r>
        <w:t xml:space="preserve"> и сохранилась на уровне прошлого анализируемого периода.</w:t>
      </w:r>
      <w:r/>
    </w:p>
    <w:p>
      <w:pPr>
        <w:ind w:firstLine="709"/>
        <w:spacing w:line="276" w:lineRule="auto"/>
        <w:rPr>
          <w:color w:val="000000"/>
        </w:rPr>
      </w:pPr>
      <w:r>
        <w:rPr>
          <w:b/>
          <w:bCs/>
          <w:i/>
          <w:iCs/>
        </w:rPr>
        <w:t xml:space="preserve">Напряженная</w:t>
      </w:r>
      <w:r>
        <w:rPr>
          <w:b/>
          <w:bCs/>
          <w:i/>
          <w:iCs/>
        </w:rPr>
        <w:t xml:space="preserve"> </w:t>
      </w:r>
      <w:r>
        <w:t xml:space="preserve">наркоситуация определилась для </w:t>
      </w:r>
      <w:r>
        <w:t xml:space="preserve">таких муниципальных образовани</w:t>
      </w:r>
      <w:r>
        <w:t xml:space="preserve">й</w:t>
      </w:r>
      <w:r>
        <w:t xml:space="preserve"> как </w:t>
      </w:r>
      <w:r>
        <w:t xml:space="preserve">города </w:t>
      </w:r>
      <w:r>
        <w:rPr>
          <w:color w:val="000000"/>
        </w:rPr>
        <w:t xml:space="preserve">Ханты-Мансийск, Когалым, Лангепас, Мегион, Нижневартовск, Сургут, Урай и Югорск, Кондинский, Нижневартовский и Сургутский районы</w:t>
      </w:r>
      <w:r>
        <w:rPr>
          <w:color w:val="000000"/>
        </w:rPr>
        <w:t xml:space="preserve">.</w:t>
      </w:r>
      <w:r>
        <w:rPr>
          <w:color w:val="000000"/>
        </w:rPr>
      </w:r>
      <w:r>
        <w:rPr>
          <w:color w:val="000000"/>
        </w:rPr>
      </w:r>
    </w:p>
    <w:p>
      <w:pPr>
        <w:ind w:firstLine="709"/>
        <w:spacing w:line="276" w:lineRule="auto"/>
        <w:rPr>
          <w:color w:val="000000"/>
        </w:rPr>
      </w:pPr>
      <w:r>
        <w:rPr>
          <w:b/>
          <w:bCs/>
          <w:i/>
          <w:iCs/>
        </w:rPr>
        <w:t xml:space="preserve">Нейтральная</w:t>
      </w:r>
      <w:r>
        <w:t xml:space="preserve"> характеристика наркоситуации в 202</w:t>
      </w:r>
      <w:r>
        <w:t xml:space="preserve">4</w:t>
      </w:r>
      <w:r>
        <w:t xml:space="preserve"> году </w:t>
      </w:r>
      <w:r>
        <w:t xml:space="preserve">зафиксирована в</w:t>
      </w:r>
      <w:r>
        <w:t xml:space="preserve"> таки</w:t>
      </w:r>
      <w:r>
        <w:t xml:space="preserve">х</w:t>
      </w:r>
      <w:r>
        <w:t xml:space="preserve"> муниципальны</w:t>
      </w:r>
      <w:r>
        <w:t xml:space="preserve">х</w:t>
      </w:r>
      <w:r>
        <w:t xml:space="preserve"> образования</w:t>
      </w:r>
      <w:r>
        <w:t xml:space="preserve">х</w:t>
      </w:r>
      <w:r>
        <w:t xml:space="preserve"> как города </w:t>
      </w:r>
      <w:r>
        <w:rPr>
          <w:color w:val="000000"/>
        </w:rPr>
        <w:t xml:space="preserve">Нефтеюганск, Нягань, Покачи, Пыть-Ях и Радужный, Белоярский, Березовский, Нефтеюганский, Октябрьский, Советский и Ханты-Мансийский </w:t>
      </w:r>
      <w:r>
        <w:rPr>
          <w:color w:val="000000"/>
        </w:rPr>
        <w:t xml:space="preserve">район</w:t>
      </w:r>
      <w:r>
        <w:rPr>
          <w:color w:val="000000"/>
        </w:rPr>
        <w:t xml:space="preserve">ы.</w:t>
      </w:r>
      <w:r>
        <w:rPr>
          <w:color w:val="000000"/>
        </w:rPr>
      </w:r>
      <w:r>
        <w:rPr>
          <w:color w:val="000000"/>
        </w:rPr>
      </w:r>
    </w:p>
    <w:p>
      <w:pPr>
        <w:ind w:firstLine="709"/>
        <w:spacing w:line="276" w:lineRule="auto"/>
        <w:rPr>
          <w:color w:val="000000"/>
        </w:rPr>
      </w:pPr>
      <w:r>
        <w:t xml:space="preserve">В сравнении с </w:t>
      </w:r>
      <w:r>
        <w:t xml:space="preserve">202</w:t>
      </w:r>
      <w:r>
        <w:t xml:space="preserve">2</w:t>
      </w:r>
      <w:r>
        <w:t xml:space="preserve">-202</w:t>
      </w:r>
      <w:r>
        <w:t xml:space="preserve">3</w:t>
      </w:r>
      <w:r>
        <w:t xml:space="preserve"> годами </w:t>
      </w:r>
      <w:r>
        <w:t xml:space="preserve">устойчивая </w:t>
      </w:r>
      <w:r>
        <w:t xml:space="preserve">положительная динамика значений предварительной итоговой оценки </w:t>
      </w:r>
      <w:r>
        <w:t xml:space="preserve">в 202</w:t>
      </w:r>
      <w:r>
        <w:t xml:space="preserve">4</w:t>
      </w:r>
      <w:r>
        <w:t xml:space="preserve"> году </w:t>
      </w:r>
      <w:r>
        <w:t xml:space="preserve">зафиксирована </w:t>
      </w:r>
      <w:r>
        <w:t xml:space="preserve">в городах </w:t>
      </w:r>
      <w:r>
        <w:rPr>
          <w:color w:val="000000"/>
        </w:rPr>
        <w:t xml:space="preserve">Ханты-Мансийск, Лангепас, Нефтеюганск, Пыть-Ях и Сургут, </w:t>
      </w:r>
      <w:r>
        <w:rPr>
          <w:color w:val="000000"/>
        </w:rPr>
        <w:t xml:space="preserve">в</w:t>
      </w:r>
      <w:r>
        <w:rPr>
          <w:color w:val="000000"/>
        </w:rPr>
        <w:t xml:space="preserve"> </w:t>
      </w:r>
      <w:r>
        <w:rPr>
          <w:color w:val="000000"/>
        </w:rPr>
        <w:t xml:space="preserve">Белоярском</w:t>
      </w:r>
      <w:r>
        <w:rPr>
          <w:color w:val="000000"/>
        </w:rPr>
        <w:t xml:space="preserve">, Нефтеюганском, Октябрьском и Советском районах; </w:t>
      </w:r>
      <w:r>
        <w:rPr>
          <w:color w:val="000000"/>
        </w:rPr>
        <w:t xml:space="preserve">ухудшение оценки – в город</w:t>
      </w:r>
      <w:r>
        <w:rPr>
          <w:color w:val="000000"/>
        </w:rPr>
        <w:t xml:space="preserve">ах Мегион, Нижневартовск, Покачи и Югорск, в Березовском, Кондинском и Ханты-Мансийском </w:t>
      </w:r>
      <w:r>
        <w:rPr>
          <w:color w:val="000000"/>
        </w:rPr>
        <w:t xml:space="preserve">район</w:t>
      </w:r>
      <w:r>
        <w:rPr>
          <w:color w:val="000000"/>
        </w:rPr>
        <w:t xml:space="preserve">ах</w:t>
      </w:r>
      <w:r>
        <w:rPr>
          <w:color w:val="000000"/>
        </w:rPr>
        <w:t xml:space="preserve">.</w:t>
      </w:r>
      <w:r>
        <w:rPr>
          <w:color w:val="000000"/>
        </w:rPr>
        <w:t xml:space="preserve"> </w:t>
      </w:r>
      <w:r>
        <w:rPr>
          <w:color w:val="000000"/>
        </w:rPr>
        <w:t xml:space="preserve">В</w:t>
      </w:r>
      <w:r>
        <w:rPr>
          <w:color w:val="000000"/>
        </w:rPr>
        <w:t xml:space="preserve"> </w:t>
      </w:r>
      <w:r>
        <w:rPr>
          <w:color w:val="000000"/>
        </w:rPr>
        <w:t xml:space="preserve">Нижневартовском</w:t>
      </w:r>
      <w:r>
        <w:rPr>
          <w:color w:val="000000"/>
        </w:rPr>
        <w:t xml:space="preserve"> районе предварительная оценка за 2024 год к значению 2022 года осталась неизменн</w:t>
      </w:r>
      <w:r>
        <w:rPr>
          <w:color w:val="000000"/>
        </w:rPr>
        <w:t xml:space="preserve">о</w:t>
      </w:r>
      <w:r>
        <w:rPr>
          <w:color w:val="000000"/>
        </w:rPr>
        <w:t xml:space="preserve">й.</w:t>
      </w:r>
      <w:r>
        <w:rPr>
          <w:color w:val="000000"/>
        </w:rPr>
      </w:r>
      <w:r>
        <w:rPr>
          <w:color w:val="000000"/>
        </w:rPr>
      </w:r>
    </w:p>
    <w:p>
      <w:pPr>
        <w:ind w:firstLine="709"/>
        <w:spacing w:line="276" w:lineRule="auto"/>
      </w:pPr>
      <w:r/>
      <w:r/>
    </w:p>
    <w:p>
      <w:pPr>
        <w:ind w:firstLine="709"/>
        <w:spacing w:line="276" w:lineRule="auto"/>
        <w:sectPr>
          <w:footnotePr/>
          <w:endnotePr/>
          <w:type w:val="nextPage"/>
          <w:pgSz w:w="11906" w:h="16838" w:orient="portrait"/>
          <w:pgMar w:top="1134" w:right="851" w:bottom="1134" w:left="1701" w:header="709" w:footer="709" w:gutter="0"/>
          <w:cols w:num="1" w:sep="0" w:space="708" w:equalWidth="1"/>
          <w:docGrid w:linePitch="360"/>
        </w:sectPr>
        <w:outlineLvl w:val="1"/>
      </w:pPr>
      <w:r/>
      <w:r/>
    </w:p>
    <w:p>
      <w:pPr>
        <w:ind w:firstLine="709"/>
        <w:spacing w:line="276" w:lineRule="auto"/>
        <w:rPr>
          <w:b/>
        </w:rPr>
        <w:outlineLvl w:val="1"/>
      </w:pPr>
      <w:r>
        <w:rPr>
          <w:b/>
        </w:rPr>
        <w:t xml:space="preserve">9. Краткосрочное (1 год) прогнозирование развития наркоситуации</w:t>
      </w:r>
      <w:r>
        <w:rPr>
          <w:b/>
        </w:rPr>
      </w:r>
      <w:r>
        <w:rPr>
          <w:b/>
        </w:rPr>
      </w:r>
    </w:p>
    <w:p>
      <w:pPr>
        <w:ind w:firstLine="709"/>
        <w:spacing w:line="276" w:lineRule="auto"/>
      </w:pPr>
      <w: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Проведенный анализ оперативной обстановки на территории </w:t>
        <w:br/>
        <w:t xml:space="preserve">Хант</w:t>
      </w:r>
      <w:r>
        <w:rPr>
          <w:rFonts w:ascii="Times New Roman" w:hAnsi="Times New Roman"/>
          <w:sz w:val="28"/>
          <w:szCs w:val="28"/>
        </w:rPr>
        <w:t xml:space="preserve">ы-</w:t>
      </w:r>
      <w:r>
        <w:rPr>
          <w:rFonts w:ascii="Times New Roman" w:hAnsi="Times New Roman"/>
          <w:sz w:val="28"/>
          <w:szCs w:val="28"/>
        </w:rPr>
        <w:t xml:space="preserve">М</w:t>
      </w:r>
      <w:r>
        <w:rPr>
          <w:rFonts w:ascii="Times New Roman" w:hAnsi="Times New Roman"/>
          <w:sz w:val="28"/>
          <w:szCs w:val="28"/>
        </w:rPr>
        <w:t xml:space="preserve">ансийского автономного округа – Югры показал, что основными факторами, влияющими на ее развитие продолжат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В 2025 году на чёрном рынке Югры сохранится доминирование синтетических наркотиков, которые</w:t>
      </w:r>
      <w:r>
        <w:rPr>
          <w:rFonts w:ascii="Times New Roman" w:hAnsi="Times New Roman"/>
          <w:sz w:val="28"/>
          <w:szCs w:val="28"/>
        </w:rPr>
        <w:t xml:space="preserve">,</w:t>
      </w:r>
      <w:r>
        <w:rPr>
          <w:rFonts w:ascii="Times New Roman" w:hAnsi="Times New Roman"/>
          <w:sz w:val="28"/>
          <w:szCs w:val="28"/>
        </w:rPr>
        <w:t xml:space="preserve"> как и прежде</w:t>
      </w:r>
      <w:r>
        <w:rPr>
          <w:rFonts w:ascii="Times New Roman" w:hAnsi="Times New Roman"/>
          <w:sz w:val="28"/>
          <w:szCs w:val="28"/>
        </w:rPr>
        <w:t xml:space="preserve">,</w:t>
      </w:r>
      <w:r>
        <w:rPr>
          <w:rFonts w:ascii="Times New Roman" w:hAnsi="Times New Roman"/>
          <w:sz w:val="28"/>
          <w:szCs w:val="28"/>
        </w:rPr>
        <w:t xml:space="preserve"> будут распространяться бесконтактным способом.</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Значительное влияние на данный процесс сохранят преступные группы, в состав которых входят иностранные граждане, чаще Таджикистана, Киргизии, Узбекистана, Азербайджана.</w:t>
      </w:r>
      <w:r>
        <w:rPr>
          <w:rFonts w:ascii="Times New Roman" w:hAnsi="Times New Roman"/>
          <w:sz w:val="28"/>
          <w:szCs w:val="28"/>
        </w:rPr>
        <w:t xml:space="preserve"> </w:t>
      </w:r>
      <w:r>
        <w:rPr>
          <w:rFonts w:ascii="Times New Roman" w:hAnsi="Times New Roman"/>
          <w:sz w:val="28"/>
          <w:szCs w:val="28"/>
        </w:rPr>
        <w:t xml:space="preserve">Основываясь на анализе оперативной обстановки, существенных изменений тактики незаконного сбыта наркотиков, способов сокрытия и маршрутов поставок подконтрольных веще</w:t>
      </w:r>
      <w:r>
        <w:rPr>
          <w:rFonts w:ascii="Times New Roman" w:hAnsi="Times New Roman"/>
          <w:sz w:val="28"/>
          <w:szCs w:val="28"/>
        </w:rPr>
        <w:t xml:space="preserve">ств в бл</w:t>
      </w:r>
      <w:r>
        <w:rPr>
          <w:rFonts w:ascii="Times New Roman" w:hAnsi="Times New Roman"/>
          <w:sz w:val="28"/>
          <w:szCs w:val="28"/>
        </w:rPr>
        <w:t xml:space="preserve">ижайшей перспективе не предвидится. Сох</w:t>
      </w:r>
      <w:r>
        <w:rPr>
          <w:rFonts w:ascii="Times New Roman" w:hAnsi="Times New Roman"/>
          <w:sz w:val="28"/>
          <w:szCs w:val="28"/>
        </w:rPr>
        <w:t xml:space="preserve">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УрФО.</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Принимая во внимание отсутствие на территории региона собственной сырье</w:t>
      </w:r>
      <w:r>
        <w:rPr>
          <w:rFonts w:ascii="Times New Roman" w:hAnsi="Times New Roman"/>
          <w:sz w:val="28"/>
          <w:szCs w:val="28"/>
        </w:rPr>
        <w:t xml:space="preserve">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факты незаконного культивирования наркосодержащих расте</w:t>
      </w:r>
      <w:r>
        <w:rPr>
          <w:rFonts w:ascii="Times New Roman" w:hAnsi="Times New Roman"/>
          <w:sz w:val="28"/>
          <w:szCs w:val="28"/>
        </w:rPr>
        <w:t xml:space="preserve">ний в условиях открытого грунта, в целях дальнейшего изготовления наркотиков, будут практически исключены. Сохранятся единичные факты культивирования наркосодержащих растений в искусственно созданных условиях (жилых помещениях, а также гаражах и теплицах).</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Учитывая отсутствие на территории Югры свободного доступа к прекурсорам, химическим реактивам и специализированному химическому</w:t>
      </w:r>
      <w:r>
        <w:rPr>
          <w:rFonts w:ascii="Times New Roman" w:hAnsi="Times New Roman"/>
          <w:sz w:val="28"/>
          <w:szCs w:val="28"/>
        </w:rPr>
        <w:t xml:space="preserve"> оборудованию, изготовление наркотиков синтетического ряда останется возможным только из материалов (реагенты, оборудование и т.д.) получаемых транспортными и почтовыми компаниями, при этом такие факты практически отсутствуют или носят единичный характер.</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w:t>
      </w:r>
      <w:r>
        <w:rPr>
          <w:rFonts w:ascii="Times New Roman" w:hAnsi="Times New Roman"/>
          <w:sz w:val="28"/>
          <w:szCs w:val="28"/>
        </w:rPr>
        <w:t xml:space="preserve">преимущественно выходцев из стран СНГ, а также жителей других регионов России.</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r>
        <w:rPr>
          <w:rFonts w:ascii="Times New Roman" w:hAnsi="Times New Roman"/>
          <w:sz w:val="28"/>
          <w:szCs w:val="28"/>
        </w:rPr>
      </w:r>
      <w:r>
        <w:rPr>
          <w:rFonts w:ascii="Times New Roman" w:hAnsi="Times New Roman"/>
          <w:sz w:val="28"/>
          <w:szCs w:val="28"/>
        </w:rPr>
      </w:r>
    </w:p>
    <w:p>
      <w:pPr>
        <w:pStyle w:val="1683"/>
        <w:ind w:firstLine="851"/>
        <w:jc w:val="both"/>
        <w:spacing w:line="276" w:lineRule="auto"/>
        <w:rPr>
          <w:rFonts w:ascii="Times New Roman" w:hAnsi="Times New Roman"/>
          <w:sz w:val="28"/>
          <w:szCs w:val="28"/>
        </w:rPr>
      </w:pPr>
      <w:r>
        <w:rPr>
          <w:rFonts w:ascii="Times New Roman" w:hAnsi="Times New Roman"/>
          <w:sz w:val="28"/>
          <w:szCs w:val="28"/>
        </w:rPr>
        <w:t xml:space="preserve">В настоящее время на территории округа зафиксирована деятельность 4 основных теневых площадок, занимающихся продажей наркотиков («OMG!</w:t>
      </w:r>
      <w:r>
        <w:rPr>
          <w:rFonts w:ascii="Times New Roman" w:hAnsi="Times New Roman"/>
          <w:sz w:val="28"/>
          <w:szCs w:val="28"/>
        </w:rPr>
        <w:t xml:space="preserve"> OMG!», </w:t>
      </w:r>
      <w:r>
        <w:rPr>
          <w:rFonts w:ascii="Times New Roman" w:hAnsi="Times New Roman"/>
          <w:sz w:val="28"/>
          <w:szCs w:val="28"/>
        </w:rPr>
        <w:t xml:space="preserve">«Mega», «Blacksprout», «Matanga») на которых располагаются так называемые магазины, осуществляющие непосредственную продажу наркотиков.</w:t>
      </w:r>
      <w:r>
        <w:rPr>
          <w:rFonts w:ascii="Times New Roman" w:hAnsi="Times New Roman"/>
          <w:sz w:val="28"/>
          <w:szCs w:val="28"/>
        </w:rPr>
        <w:t xml:space="preserve"> Преобладающий способ оплаты – криптовалюта, которая вытесняет иные способы оплаты.</w:t>
      </w:r>
      <w:r>
        <w:rPr>
          <w:rFonts w:ascii="Times New Roman" w:hAnsi="Times New Roman"/>
          <w:sz w:val="28"/>
          <w:szCs w:val="28"/>
        </w:rPr>
      </w:r>
      <w:r>
        <w:rPr>
          <w:rFonts w:ascii="Times New Roman" w:hAnsi="Times New Roman"/>
          <w:sz w:val="28"/>
          <w:szCs w:val="28"/>
        </w:rPr>
      </w:r>
    </w:p>
    <w:p>
      <w:pPr>
        <w:ind w:firstLine="709"/>
        <w:spacing w:line="276" w:lineRule="auto"/>
        <w:widowControl w:val="off"/>
        <w:tabs>
          <w:tab w:val="left" w:pos="9356" w:leader="none"/>
          <w:tab w:val="left" w:pos="10065" w:leader="none"/>
        </w:tabs>
      </w:pPr>
      <w:r>
        <w:t xml:space="preserve">В 202</w:t>
      </w:r>
      <w:r>
        <w:t xml:space="preserve">5</w:t>
      </w:r>
      <w:r>
        <w:t xml:space="preserve"> году сохранится риск вовлечения подростков в потребление лекарственных препаратов, обладающих специфическим действием на нервную систему. </w:t>
      </w:r>
      <w:r>
        <w:t xml:space="preserve">Р</w:t>
      </w:r>
      <w:r>
        <w:t xml:space="preserve">аспространение в молодежной среде употребления лекарственных препаратов, обладающих </w:t>
      </w:r>
      <w:r>
        <w:t xml:space="preserve">специфическим</w:t>
      </w:r>
      <w:r>
        <w:t xml:space="preserve"> действие на нервную систему, а также прием пре</w:t>
      </w:r>
      <w:r>
        <w:t xml:space="preserve">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r/>
    </w:p>
    <w:p>
      <w:pPr>
        <w:ind w:firstLine="709"/>
        <w:spacing w:line="276" w:lineRule="auto"/>
        <w:widowControl w:val="off"/>
        <w:tabs>
          <w:tab w:val="left" w:pos="9356" w:leader="none"/>
          <w:tab w:val="left" w:pos="10065" w:leader="none"/>
        </w:tabs>
      </w:pPr>
      <w:r>
        <w:t xml:space="preserve">Наркозависимые, наблюдающиеся у врачей-психиатров-наркологов, по данным анамнеза ранее принимали препараты «Тропикамид» и «Лирика» преимущественно в сочетанном варианте. «Заградительные» мероприятия, направленные</w:t>
      </w:r>
      <w:r>
        <w:t xml:space="preserve">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2024 году. Однако, при условии сохранения возможности незаконной реал</w:t>
      </w:r>
      <w:r>
        <w:t xml:space="preserve">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w:t>
      </w:r>
      <w:r>
        <w:t xml:space="preserve">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w:t>
      </w:r>
      <w:r>
        <w:t xml:space="preserve">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r/>
    </w:p>
    <w:p>
      <w:pPr>
        <w:ind w:firstLine="709"/>
        <w:spacing w:line="276" w:lineRule="auto"/>
      </w:pPr>
      <w:r>
        <w:t xml:space="preserve">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r/>
    </w:p>
    <w:p>
      <w:pPr>
        <w:ind w:firstLine="709"/>
        <w:spacing w:line="276" w:lineRule="auto"/>
        <w:widowControl w:val="off"/>
        <w:tabs>
          <w:tab w:val="left" w:pos="9356" w:leader="none"/>
          <w:tab w:val="left" w:pos="10065" w:leader="none"/>
        </w:tabs>
      </w:pPr>
      <w:r>
        <w:t xml:space="preserve">Таким образом, сохранение усилий по </w:t>
      </w:r>
      <w:r>
        <w:t xml:space="preserve">контролю за</w:t>
      </w:r>
      <w:r>
        <w:t xml:space="preserve"> соблюдением регламентированного отпуска лекарственных п</w:t>
      </w:r>
      <w:r>
        <w:t xml:space="preserve">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r/>
    </w:p>
    <w:p>
      <w:pPr>
        <w:ind w:firstLine="709"/>
        <w:spacing w:line="276" w:lineRule="auto"/>
        <w:widowControl w:val="off"/>
        <w:tabs>
          <w:tab w:val="left" w:pos="9356" w:leader="none"/>
          <w:tab w:val="left" w:pos="10065" w:leader="none"/>
        </w:tabs>
      </w:pPr>
      <w:r>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r>
        <w:t xml:space="preserve">интернет-площадок</w:t>
      </w:r>
      <w:r>
        <w:t xml:space="preserve"> ведет к снижению возможности приобретения синтетических «дизайнерских» наркотиков. </w:t>
      </w:r>
      <w:r/>
    </w:p>
    <w:p>
      <w:pPr>
        <w:ind w:firstLine="709"/>
        <w:spacing w:line="276" w:lineRule="auto"/>
        <w:widowControl w:val="off"/>
        <w:tabs>
          <w:tab w:val="left" w:pos="9356" w:leader="none"/>
          <w:tab w:val="left" w:pos="10065" w:leader="none"/>
        </w:tabs>
      </w:pPr>
      <w:r>
        <w:t xml:space="preserve">Психотические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 представляют серьезную проблему.</w:t>
      </w:r>
      <w:r/>
    </w:p>
    <w:p>
      <w:pPr>
        <w:ind w:firstLine="709"/>
        <w:spacing w:line="276" w:lineRule="auto"/>
        <w:widowControl w:val="off"/>
        <w:tabs>
          <w:tab w:val="left" w:pos="9356" w:leader="none"/>
          <w:tab w:val="left" w:pos="10065" w:leader="none"/>
        </w:tabs>
      </w:pPr>
      <w:r>
        <w:t xml:space="preserve">Психотическое состояние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w:t>
      </w:r>
      <w:r>
        <w:t xml:space="preserve">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w:t>
      </w:r>
      <w:r>
        <w:t xml:space="preserve">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r/>
    </w:p>
    <w:p>
      <w:pPr>
        <w:ind w:firstLine="709"/>
        <w:spacing w:line="276" w:lineRule="auto"/>
        <w:widowControl w:val="off"/>
        <w:tabs>
          <w:tab w:val="left" w:pos="9356" w:leader="none"/>
          <w:tab w:val="left" w:pos="10065" w:leader="none"/>
        </w:tabs>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урежению частоты дыхания, гипоксии и, как следствие, без вмешательства, остановке </w:t>
      </w:r>
      <w:r>
        <w:t xml:space="preserve">дыхательной деятельности.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r/>
    </w:p>
    <w:p>
      <w:pPr>
        <w:ind w:firstLine="709"/>
        <w:spacing w:line="276" w:lineRule="auto"/>
        <w:widowControl w:val="off"/>
        <w:tabs>
          <w:tab w:val="left" w:pos="9356" w:leader="none"/>
          <w:tab w:val="left" w:pos="10065" w:leader="none"/>
        </w:tabs>
      </w:pPr>
      <w:r>
        <w:t xml:space="preserve">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w:t>
      </w:r>
      <w:r>
        <w:t xml:space="preserve">психотропных веществ </w:t>
      </w:r>
      <w:r>
        <w:t xml:space="preserve">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r/>
    </w:p>
    <w:p>
      <w:pPr>
        <w:ind w:firstLine="709"/>
        <w:spacing w:line="276" w:lineRule="auto"/>
        <w:widowControl w:val="off"/>
        <w:tabs>
          <w:tab w:val="left" w:pos="9356" w:leader="none"/>
          <w:tab w:val="left" w:pos="10065" w:leader="none"/>
        </w:tabs>
      </w:pPr>
      <w:r>
        <w:t xml:space="preserve">Анализируя статистические показатели наркологической службы Ханты-Мансийского автономного округа – Югры</w:t>
      </w:r>
      <w:r>
        <w:t xml:space="preserve">, </w:t>
      </w:r>
      <w:r>
        <w:t xml:space="preserve">текущую</w:t>
      </w:r>
      <w:r>
        <w:t xml:space="preserve">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r/>
    </w:p>
    <w:p>
      <w:pPr>
        <w:ind w:firstLine="709"/>
        <w:spacing w:line="276" w:lineRule="auto"/>
        <w:widowControl w:val="off"/>
        <w:tabs>
          <w:tab w:val="left" w:pos="9356" w:leader="none"/>
          <w:tab w:val="left" w:pos="10065" w:leader="none"/>
        </w:tabs>
        <w:rPr>
          <w:highlight w:val="yellow"/>
        </w:rPr>
      </w:pPr>
      <w:r>
        <w:rPr>
          <w:highlight w:val="yellow"/>
        </w:rPr>
      </w:r>
      <w:r>
        <w:rPr>
          <w:highlight w:val="yellow"/>
        </w:rPr>
      </w:r>
      <w:r>
        <w:rPr>
          <w:highlight w:val="yellow"/>
        </w:rPr>
      </w:r>
    </w:p>
    <w:p>
      <w:pPr>
        <w:ind w:firstLine="709"/>
        <w:spacing w:line="276" w:lineRule="auto"/>
        <w:widowControl w:val="off"/>
        <w:tabs>
          <w:tab w:val="left" w:pos="9356" w:leader="none"/>
          <w:tab w:val="left" w:pos="10065" w:leader="none"/>
        </w:tabs>
        <w:rPr>
          <w:b/>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r>
        <w:rPr>
          <w:b/>
          <w:highlight w:val="yellow"/>
        </w:rPr>
      </w:r>
    </w:p>
    <w:p>
      <w:pPr>
        <w:ind w:firstLine="709"/>
        <w:spacing w:line="276" w:lineRule="auto"/>
        <w:widowControl w:val="off"/>
        <w:tabs>
          <w:tab w:val="left" w:pos="9356" w:leader="none"/>
          <w:tab w:val="left" w:pos="10065" w:leader="none"/>
        </w:tabs>
        <w:rPr>
          <w:b/>
          <w:highlight w:val="white"/>
        </w:rPr>
      </w:pPr>
      <w:r>
        <w:rPr>
          <w:b/>
          <w:highlight w:val="white"/>
        </w:rPr>
        <w:t xml:space="preserve">10. Проекты управленческих решений и предложения по оздоровлению наркоситуации в автономном округе и в Российской Федерации в целом</w:t>
      </w:r>
      <w:r>
        <w:rPr>
          <w:b/>
          <w:highlight w:val="white"/>
        </w:rPr>
      </w:r>
      <w:r>
        <w:rPr>
          <w:b/>
          <w:highlight w:val="white"/>
        </w:rPr>
      </w:r>
    </w:p>
    <w:p>
      <w:pPr>
        <w:pStyle w:val="1649"/>
        <w:ind w:firstLine="709"/>
        <w:jc w:val="both"/>
        <w:spacing w:line="276" w:lineRule="auto"/>
        <w:rPr>
          <w:rFonts w:ascii="Times New Roman" w:hAnsi="Times New Roman" w:cs="Times New Roman"/>
          <w:b/>
          <w:sz w:val="28"/>
          <w:szCs w:val="28"/>
          <w:highlight w:val="white"/>
        </w:rPr>
      </w:pPr>
      <w:r>
        <w:rPr>
          <w:rFonts w:ascii="Times New Roman" w:hAnsi="Times New Roman" w:cs="Times New Roman"/>
          <w:b/>
          <w:sz w:val="28"/>
          <w:szCs w:val="28"/>
          <w:highlight w:val="white"/>
        </w:rPr>
      </w:r>
      <w:r>
        <w:rPr>
          <w:rFonts w:ascii="Times New Roman" w:hAnsi="Times New Roman" w:cs="Times New Roman"/>
          <w:b/>
          <w:sz w:val="28"/>
          <w:szCs w:val="28"/>
          <w:highlight w:val="white"/>
        </w:rPr>
      </w:r>
      <w:r>
        <w:rPr>
          <w:rFonts w:ascii="Times New Roman" w:hAnsi="Times New Roman" w:cs="Times New Roman"/>
          <w:b/>
          <w:sz w:val="28"/>
          <w:szCs w:val="28"/>
          <w:highlight w:val="white"/>
        </w:rPr>
      </w:r>
    </w:p>
    <w:p>
      <w:pPr>
        <w:pStyle w:val="1652"/>
        <w:numPr>
          <w:ilvl w:val="0"/>
          <w:numId w:val="45"/>
        </w:numPr>
        <w:ind w:left="0" w:right="0" w:firstLine="709"/>
        <w:spacing w:line="269" w:lineRule="auto"/>
        <w:rPr>
          <w:rFonts w:eastAsia="Calibri"/>
          <w:highlight w:val="white"/>
        </w:rPr>
      </w:pPr>
      <w:r>
        <w:rPr>
          <w:rFonts w:eastAsia="Calibri"/>
          <w:highlight w:val="white"/>
        </w:rPr>
        <w:t xml:space="preserve">Совершенствование системы лечения и реабилитации по направлениям:</w:t>
      </w:r>
      <w:r>
        <w:rPr>
          <w:rFonts w:eastAsia="Calibri"/>
          <w:highlight w:val="white"/>
        </w:rPr>
      </w:r>
      <w:r>
        <w:rPr>
          <w:rFonts w:eastAsia="Calibri"/>
          <w:highlight w:val="white"/>
        </w:rPr>
      </w:r>
    </w:p>
    <w:p>
      <w:pPr>
        <w:ind w:left="0" w:right="0" w:firstLine="709"/>
        <w:spacing w:line="269" w:lineRule="auto"/>
        <w:rPr>
          <w:rFonts w:eastAsia="Calibri"/>
          <w:highlight w:val="white"/>
        </w:rPr>
      </w:pPr>
      <w:r>
        <w:rPr>
          <w:rFonts w:eastAsia="Calibri"/>
          <w:highlight w:val="white"/>
        </w:rPr>
        <w:t xml:space="preserve">доступность лечения: увеличение количества бесплатных реабилитационных центров и программ для наркозависимых;</w:t>
      </w:r>
      <w:r>
        <w:rPr>
          <w:rFonts w:eastAsia="Calibri"/>
          <w:highlight w:val="white"/>
        </w:rPr>
      </w:r>
      <w:r>
        <w:rPr>
          <w:rFonts w:eastAsia="Calibri"/>
          <w:highlight w:val="white"/>
        </w:rPr>
      </w:r>
    </w:p>
    <w:p>
      <w:pPr>
        <w:ind w:left="0" w:right="0" w:firstLine="709"/>
        <w:spacing w:line="269" w:lineRule="auto"/>
        <w:rPr>
          <w:rFonts w:eastAsia="Calibri"/>
          <w:highlight w:val="white"/>
        </w:rPr>
      </w:pPr>
      <w:r>
        <w:rPr>
          <w:rFonts w:eastAsia="Calibri"/>
          <w:highlight w:val="white"/>
        </w:rPr>
        <w:t xml:space="preserve">качество услуг: подготовка квалифицированных специалистов в области наркологии и психологии;</w:t>
      </w:r>
      <w:r>
        <w:rPr>
          <w:rFonts w:eastAsia="Calibri"/>
          <w:highlight w:val="white"/>
        </w:rPr>
      </w:r>
      <w:r>
        <w:rPr>
          <w:rFonts w:eastAsia="Calibri"/>
          <w:highlight w:val="white"/>
        </w:rPr>
      </w:r>
    </w:p>
    <w:p>
      <w:pPr>
        <w:pStyle w:val="1652"/>
        <w:ind w:left="0" w:right="0" w:firstLine="709"/>
        <w:spacing w:line="269" w:lineRule="auto"/>
        <w:rPr>
          <w:rFonts w:eastAsia="Calibri"/>
          <w:highlight w:val="white"/>
        </w:rPr>
      </w:pPr>
      <w:r>
        <w:rPr>
          <w:rFonts w:eastAsia="Calibri"/>
          <w:highlight w:val="white"/>
        </w:rPr>
        <w:t xml:space="preserve">постреабилитационная</w:t>
      </w:r>
      <w:r>
        <w:rPr>
          <w:rFonts w:eastAsia="Calibri"/>
          <w:highlight w:val="white"/>
        </w:rPr>
        <w:t xml:space="preserve"> поддержка: реализация программ социальной адаптации для бывших наркозависимых, включая трудоустройство и психологическую помощь.</w:t>
      </w:r>
      <w:r>
        <w:rPr>
          <w:rFonts w:eastAsia="Calibri"/>
          <w:highlight w:val="white"/>
        </w:rPr>
      </w:r>
      <w:r>
        <w:rPr>
          <w:rFonts w:eastAsia="Calibri"/>
          <w:highlight w:val="white"/>
        </w:rPr>
      </w:r>
    </w:p>
    <w:p>
      <w:pPr>
        <w:ind w:left="0" w:right="0" w:firstLine="709"/>
        <w:spacing w:line="269" w:lineRule="auto"/>
        <w:rPr>
          <w:rFonts w:eastAsia="Calibri"/>
          <w:highlight w:val="white"/>
        </w:rPr>
      </w:pPr>
      <w:r>
        <w:rPr>
          <w:rFonts w:eastAsia="Calibri"/>
          <w:highlight w:val="none"/>
        </w:rPr>
        <w:t xml:space="preserve">2) Дополнительные меры по</w:t>
      </w:r>
      <w:r>
        <w:rPr>
          <w:rFonts w:eastAsia="Calibri"/>
          <w:highlight w:val="white"/>
        </w:rPr>
        <w:t xml:space="preserve"> контролю за оборотом наркотических средств и психотропных веществ:</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борьба с незаконным оборотом наркотиков: повышение эффективности работы правоохранительных органов по выявлению и пресечению каналов поставки наркотиков;</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контроль за аптеками: усиление ведомственного и общественного контроля за продажей лекарственных препаратов, которые могут быть использованы для изготовления наркотиков.</w:t>
      </w:r>
      <w:r>
        <w:rPr>
          <w:rFonts w:eastAsia="Calibri"/>
          <w:highlight w:val="white"/>
        </w:rPr>
      </w:r>
      <w:r>
        <w:rPr>
          <w:rFonts w:eastAsia="Calibri"/>
          <w:highlight w:val="white"/>
        </w:rPr>
      </w:r>
    </w:p>
    <w:p>
      <w:pPr>
        <w:ind w:left="709" w:firstLine="0"/>
        <w:spacing w:line="269" w:lineRule="auto"/>
        <w:rPr>
          <w:rFonts w:eastAsia="Calibri"/>
          <w:highlight w:val="white"/>
        </w:rPr>
      </w:pPr>
      <w:r>
        <w:rPr>
          <w:rFonts w:eastAsia="Calibri"/>
          <w:highlight w:val="none"/>
        </w:rPr>
        <w:t xml:space="preserve">3) Совершенствование </w:t>
      </w:r>
      <w:r>
        <w:rPr>
          <w:rFonts w:eastAsia="Calibri"/>
          <w:highlight w:val="none"/>
        </w:rPr>
        <w:t xml:space="preserve">м</w:t>
      </w:r>
      <w:r>
        <w:rPr>
          <w:rFonts w:eastAsia="Calibri"/>
          <w:highlight w:val="white"/>
        </w:rPr>
        <w:t xml:space="preserve">ежведомственного взаимодействия:</w:t>
      </w:r>
      <w:r>
        <w:rPr>
          <w:rFonts w:eastAsia="Calibri"/>
          <w:highlight w:val="white"/>
        </w:rPr>
      </w:r>
      <w:r>
        <w:rPr>
          <w:rFonts w:eastAsia="Calibri"/>
          <w:highlight w:val="white"/>
        </w:rPr>
      </w:r>
    </w:p>
    <w:p>
      <w:pPr>
        <w:pStyle w:val="1652"/>
        <w:ind w:left="0" w:firstLine="709"/>
        <w:spacing w:line="269" w:lineRule="auto"/>
        <w:rPr>
          <w:rFonts w:eastAsia="Calibri"/>
          <w:highlight w:val="white"/>
        </w:rPr>
      </w:pPr>
      <w:r>
        <w:rPr>
          <w:rFonts w:eastAsia="Calibri"/>
          <w:highlight w:val="white"/>
        </w:rPr>
        <w:t xml:space="preserve">создание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подготовки решений, реализация которых способн</w:t>
      </w:r>
      <w:r>
        <w:rPr>
          <w:rFonts w:eastAsia="Calibri"/>
          <w:highlight w:val="white"/>
        </w:rPr>
        <w:t xml:space="preserve">а положительно повлиять на ее изменение;</w:t>
      </w:r>
      <w:r>
        <w:rPr>
          <w:rFonts w:eastAsia="Calibri"/>
          <w:highlight w:val="white"/>
        </w:rPr>
      </w:r>
      <w:r>
        <w:rPr>
          <w:rFonts w:eastAsia="Calibri"/>
          <w:highlight w:val="white"/>
        </w:rPr>
      </w:r>
    </w:p>
    <w:p>
      <w:pPr>
        <w:pStyle w:val="1652"/>
        <w:ind w:left="0" w:firstLine="709"/>
        <w:spacing w:line="269" w:lineRule="auto"/>
        <w:rPr>
          <w:rFonts w:eastAsia="Calibri"/>
          <w:highlight w:val="white"/>
        </w:rPr>
      </w:pPr>
      <w:r>
        <w:rPr>
          <w:rFonts w:eastAsia="Calibri"/>
          <w:highlight w:val="white"/>
        </w:rPr>
        <w:t xml:space="preserve">разработка и совершенствование единой базы данных для мониторинга наркоситуации и эффективного реагирования на изменения</w:t>
      </w:r>
      <w:r>
        <w:rPr>
          <w:rFonts w:eastAsia="Calibri"/>
          <w:highlight w:val="white"/>
        </w:rPr>
        <w:t xml:space="preserve">;</w:t>
      </w:r>
      <w:r>
        <w:rPr>
          <w:rFonts w:eastAsia="Calibri"/>
          <w:highlight w:val="white"/>
        </w:rPr>
      </w:r>
      <w:r>
        <w:rPr>
          <w:rFonts w:eastAsia="Calibri"/>
          <w:highlight w:val="white"/>
        </w:rPr>
      </w:r>
    </w:p>
    <w:p>
      <w:pPr>
        <w:pStyle w:val="1652"/>
        <w:ind w:left="0" w:firstLine="709"/>
        <w:spacing w:line="269" w:lineRule="auto"/>
        <w:rPr>
          <w:highlight w:val="white"/>
        </w:rPr>
      </w:pPr>
      <w:r>
        <w:rPr>
          <w:rFonts w:eastAsia="Calibri"/>
          <w:highlight w:val="none"/>
        </w:rPr>
        <w:t xml:space="preserve">расширение и активизация</w:t>
      </w:r>
      <w:r>
        <w:rPr>
          <w:highlight w:val="white"/>
        </w:rPr>
        <w:t xml:space="preserve"> межведомственного сотрудничества органов системы профилактики наркомании, общественных организаций и представителей информационного и масс-медиа пространства (СМИ, рекламные агентства, блогеры, орг</w:t>
      </w:r>
      <w:r>
        <w:rPr>
          <w:highlight w:val="white"/>
        </w:rPr>
        <w:t xml:space="preserve">а</w:t>
      </w:r>
      <w:r>
        <w:rPr>
          <w:highlight w:val="white"/>
        </w:rPr>
        <w:t xml:space="preserve">низации полиграфии и печатной продукции и пр.), направленного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w:t>
      </w:r>
      <w:r>
        <w:rPr>
          <w:highlight w:val="white"/>
        </w:rPr>
        <w:t xml:space="preserve">го жителя Югры, а также просвещение населения о последствиях и ответственности в связи с незаконным оборотом психоактивных веществ (административная и уголовная ответственность, проблемы в семейных отношениях, трудовая дезадаптация, личностная деградация);</w:t>
      </w:r>
      <w:r>
        <w:rPr>
          <w:highlight w:val="white"/>
        </w:rPr>
      </w:r>
      <w:r>
        <w:rPr>
          <w:highlight w:val="white"/>
        </w:rPr>
      </w:r>
    </w:p>
    <w:p>
      <w:pPr>
        <w:pStyle w:val="1652"/>
        <w:ind w:left="0" w:firstLine="709"/>
        <w:spacing w:line="269" w:lineRule="auto"/>
        <w:rPr>
          <w:highlight w:val="white"/>
        </w:rPr>
      </w:pPr>
      <w:r>
        <w:rPr>
          <w:rFonts w:eastAsia="Calibri"/>
          <w:highlight w:val="white"/>
        </w:rPr>
        <w:t xml:space="preserve">у</w:t>
      </w:r>
      <w:r>
        <w:rPr>
          <w:highlight w:val="white"/>
        </w:rPr>
        <w:t xml:space="preserve">силение межведомственного сотрудничества</w:t>
      </w:r>
      <w:r>
        <w:rPr>
          <w:highlight w:val="white"/>
        </w:rPr>
        <w:t xml:space="preserve"> </w:t>
      </w:r>
      <w:r>
        <w:rPr>
          <w:highlight w:val="white"/>
        </w:rPr>
        <w:t xml:space="preserve">правоохранительных органов, органов системы профилактики, общественных организаций и представителей информационного и масс-медиа пространства по перекрытию информационных каналов</w:t>
      </w:r>
      <w:r>
        <w:rPr>
          <w:highlight w:val="white"/>
        </w:rPr>
        <w:t xml:space="preserve">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r>
        <w:rPr>
          <w:highlight w:val="white"/>
        </w:rPr>
        <w:t xml:space="preserve">.</w:t>
      </w:r>
      <w:r>
        <w:rPr>
          <w:highlight w:val="white"/>
        </w:rPr>
      </w:r>
      <w:r>
        <w:rPr>
          <w:highlight w:val="white"/>
        </w:rPr>
      </w:r>
    </w:p>
    <w:p>
      <w:pPr>
        <w:ind w:left="709" w:firstLine="0"/>
        <w:spacing w:line="269" w:lineRule="auto"/>
        <w:rPr>
          <w:rFonts w:eastAsia="Calibri"/>
          <w:highlight w:val="white"/>
        </w:rPr>
      </w:pPr>
      <w:r>
        <w:rPr>
          <w:rFonts w:eastAsia="Calibri"/>
          <w:highlight w:val="none"/>
        </w:rPr>
        <w:t xml:space="preserve">4) </w:t>
      </w:r>
      <w:r>
        <w:rPr>
          <w:rFonts w:eastAsia="Calibri"/>
          <w:highlight w:val="white"/>
        </w:rPr>
        <w:t xml:space="preserve">Поддержка научных исследований:</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r>
        <w:rPr>
          <w:rFonts w:eastAsia="Calibri"/>
          <w:highlight w:val="white"/>
        </w:rPr>
        <w:t xml:space="preserve">;</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поддержка научных проектов, направленных на создание эффективных методик лечения и реабилитации наркозависимых.</w:t>
      </w:r>
      <w:r>
        <w:rPr>
          <w:rFonts w:eastAsia="Calibri"/>
          <w:highlight w:val="white"/>
        </w:rPr>
      </w:r>
      <w:r>
        <w:rPr>
          <w:rFonts w:eastAsia="Calibri"/>
          <w:highlight w:val="white"/>
        </w:rPr>
      </w:r>
    </w:p>
    <w:p>
      <w:pPr>
        <w:ind w:left="709" w:firstLine="0"/>
        <w:spacing w:line="269" w:lineRule="auto"/>
        <w:rPr>
          <w:rFonts w:eastAsia="Calibri"/>
          <w:highlight w:val="white"/>
        </w:rPr>
      </w:pPr>
      <w:r>
        <w:rPr>
          <w:rFonts w:eastAsia="Calibri"/>
          <w:highlight w:val="none"/>
        </w:rPr>
        <w:t xml:space="preserve">5) </w:t>
      </w:r>
      <w:r>
        <w:rPr>
          <w:rFonts w:eastAsia="Calibri"/>
          <w:highlight w:val="white"/>
        </w:rPr>
        <w:t xml:space="preserve">Социальная поддержка населения:</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развитие спортивных, культурных и образовательных программ для молодежи, чтобы снизить риск вовлечения в наркоманию;</w:t>
      </w:r>
      <w:r>
        <w:rPr>
          <w:rFonts w:eastAsia="Calibri"/>
          <w:highlight w:val="white"/>
        </w:rPr>
      </w:r>
      <w:r>
        <w:rPr>
          <w:rFonts w:eastAsia="Calibri"/>
          <w:highlight w:val="white"/>
        </w:rPr>
      </w:r>
    </w:p>
    <w:p>
      <w:pPr>
        <w:ind w:firstLine="709"/>
        <w:spacing w:line="269" w:lineRule="auto"/>
        <w:rPr>
          <w:rFonts w:eastAsia="Calibri"/>
          <w:highlight w:val="white"/>
        </w:rPr>
      </w:pPr>
      <w:r>
        <w:rPr>
          <w:rFonts w:eastAsia="Calibri"/>
          <w:highlight w:val="white"/>
        </w:rPr>
        <w:t xml:space="preserve">оказание помощи семьям, столкнувшимся с проблемой наркомании, включая консультации психологов и социальных работников.</w:t>
      </w:r>
      <w:r>
        <w:rPr>
          <w:rFonts w:eastAsia="Calibri"/>
          <w:highlight w:val="white"/>
        </w:rPr>
      </w:r>
      <w:r>
        <w:rPr>
          <w:rFonts w:eastAsia="Calibri"/>
          <w:highlight w:val="white"/>
        </w:rPr>
      </w:r>
    </w:p>
    <w:p>
      <w:pPr>
        <w:ind w:left="709" w:firstLine="0"/>
        <w:spacing w:line="269" w:lineRule="auto"/>
        <w:rPr>
          <w:rFonts w:eastAsia="Calibri"/>
          <w:highlight w:val="white"/>
        </w:rPr>
      </w:pPr>
      <w:r>
        <w:rPr>
          <w:rFonts w:eastAsia="Calibri"/>
          <w:highlight w:val="none"/>
        </w:rPr>
        <w:t xml:space="preserve">6) </w:t>
      </w:r>
      <w:r>
        <w:rPr>
          <w:rFonts w:eastAsia="Calibri"/>
          <w:highlight w:val="white"/>
        </w:rPr>
        <w:t xml:space="preserve">Правовые инициативы (инициирование и поддержка):</w:t>
      </w:r>
      <w:r>
        <w:rPr>
          <w:rFonts w:eastAsia="Calibri"/>
          <w:highlight w:val="white"/>
        </w:rPr>
      </w:r>
      <w:r>
        <w:rPr>
          <w:rFonts w:eastAsia="Calibri"/>
          <w:highlight w:val="white"/>
        </w:rPr>
      </w:r>
    </w:p>
    <w:p>
      <w:pPr>
        <w:ind w:firstLine="709"/>
        <w:spacing w:line="269" w:lineRule="auto"/>
        <w:rPr>
          <w:color w:val="000000"/>
          <w:highlight w:val="white"/>
        </w:rPr>
      </w:pPr>
      <w:r>
        <w:rPr>
          <w:color w:val="000000"/>
          <w:highlight w:val="white"/>
        </w:rPr>
        <w:t xml:space="preserve">ужесточение ответственности за совершение правонарушений, предусмотренных статьями 14.1 и 14.4.2 Кодекса Российской Федерации об административных правонарушениях</w:t>
      </w:r>
      <w:r>
        <w:rPr>
          <w:color w:val="000000"/>
          <w:highlight w:val="white"/>
        </w:rPr>
        <w:t xml:space="preserve">;</w:t>
      </w:r>
      <w:r>
        <w:rPr>
          <w:color w:val="000000"/>
          <w:highlight w:val="white"/>
        </w:rPr>
        <w:t xml:space="preserve"> </w:t>
      </w:r>
      <w:r>
        <w:rPr>
          <w:color w:val="000000"/>
          <w:highlight w:val="white"/>
        </w:rPr>
      </w:r>
      <w:r>
        <w:rPr>
          <w:color w:val="000000"/>
          <w:highlight w:val="white"/>
        </w:rPr>
      </w:r>
    </w:p>
    <w:p>
      <w:pPr>
        <w:ind w:firstLine="709"/>
        <w:spacing w:line="269" w:lineRule="auto"/>
        <w:rPr>
          <w:color w:val="000000"/>
          <w:highlight w:val="white"/>
        </w:rPr>
      </w:pPr>
      <w:r>
        <w:rPr>
          <w:color w:val="000000"/>
          <w:highlight w:val="white"/>
        </w:rPr>
        <w:t xml:space="preserve">д</w:t>
      </w:r>
      <w:r>
        <w:rPr>
          <w:color w:val="000000"/>
          <w:highlight w:val="white"/>
        </w:rPr>
        <w:t xml:space="preserve">ополнение перечня лекарственных средств для медицинского при</w:t>
      </w:r>
      <w:r>
        <w:rPr>
          <w:color w:val="000000"/>
          <w:highlight w:val="white"/>
        </w:rPr>
        <w:t xml:space="preserve">менения, подлежащих предметно-количественному учету (утв. приказом Министерства здравоохранения РФ от 01.09.2023 № 459н «Об утверждении перечня лекарственных средств для медицинского применения, подлежащих предметно-количественному учету», позициями: МНН «</w:t>
      </w:r>
      <w:r>
        <w:rPr>
          <w:color w:val="000000"/>
          <w:highlight w:val="white"/>
        </w:rPr>
        <w:t xml:space="preserve">Габапентин</w:t>
      </w:r>
      <w:r>
        <w:rPr>
          <w:color w:val="000000"/>
          <w:highlight w:val="white"/>
        </w:rPr>
        <w:t xml:space="preserve">», МНН «</w:t>
      </w:r>
      <w:r>
        <w:rPr>
          <w:color w:val="000000"/>
          <w:highlight w:val="white"/>
        </w:rPr>
        <w:t xml:space="preserve">Баклосан</w:t>
      </w:r>
      <w:r>
        <w:rPr>
          <w:color w:val="000000"/>
          <w:highlight w:val="white"/>
        </w:rPr>
        <w:t xml:space="preserve">», МНН «</w:t>
      </w:r>
      <w:r>
        <w:rPr>
          <w:color w:val="000000"/>
          <w:highlight w:val="white"/>
        </w:rPr>
        <w:t xml:space="preserve">Тропикамид</w:t>
      </w:r>
      <w:r>
        <w:rPr>
          <w:color w:val="000000"/>
          <w:highlight w:val="white"/>
        </w:rPr>
        <w:t xml:space="preserve"> + </w:t>
      </w:r>
      <w:r>
        <w:rPr>
          <w:color w:val="000000"/>
          <w:highlight w:val="white"/>
        </w:rPr>
        <w:t xml:space="preserve">Фенилэфрин</w:t>
      </w:r>
      <w:r>
        <w:rPr>
          <w:color w:val="000000"/>
          <w:highlight w:val="white"/>
        </w:rPr>
        <w:t xml:space="preserve">» (</w:t>
      </w:r>
      <w:r>
        <w:rPr>
          <w:color w:val="000000"/>
          <w:highlight w:val="white"/>
        </w:rPr>
        <w:t xml:space="preserve">Феникамид</w:t>
      </w:r>
      <w:r>
        <w:rPr>
          <w:color w:val="000000"/>
          <w:highlight w:val="white"/>
        </w:rPr>
        <w:t xml:space="preserve">, </w:t>
      </w:r>
      <w:r>
        <w:rPr>
          <w:color w:val="000000"/>
          <w:highlight w:val="white"/>
        </w:rPr>
        <w:t xml:space="preserve">Мидримакс</w:t>
      </w:r>
      <w:r>
        <w:rPr>
          <w:color w:val="000000"/>
          <w:highlight w:val="white"/>
        </w:rPr>
        <w:t xml:space="preserve">), МНН «Парацетамол + </w:t>
      </w:r>
      <w:r>
        <w:rPr>
          <w:color w:val="000000"/>
          <w:highlight w:val="white"/>
        </w:rPr>
        <w:t xml:space="preserve">Дицикловерин</w:t>
      </w:r>
      <w:r>
        <w:rPr>
          <w:color w:val="000000"/>
          <w:highlight w:val="white"/>
        </w:rPr>
        <w:t xml:space="preserve">» (Триган-Д</w:t>
      </w:r>
      <w:r>
        <w:rPr>
          <w:color w:val="000000"/>
          <w:highlight w:val="white"/>
        </w:rPr>
        <w:t xml:space="preserve">);</w:t>
      </w:r>
      <w:r>
        <w:rPr>
          <w:color w:val="000000"/>
          <w:highlight w:val="white"/>
        </w:rPr>
      </w:r>
      <w:r>
        <w:rPr>
          <w:color w:val="000000"/>
          <w:highlight w:val="white"/>
        </w:rPr>
      </w:r>
    </w:p>
    <w:p>
      <w:pPr>
        <w:ind w:firstLine="709"/>
        <w:spacing w:line="269" w:lineRule="auto"/>
        <w:rPr>
          <w:color w:val="000000"/>
          <w:highlight w:val="white"/>
        </w:rPr>
      </w:pPr>
      <w:r>
        <w:rPr>
          <w:color w:val="000000"/>
          <w:highlight w:val="white"/>
        </w:rPr>
        <w:t xml:space="preserve">и</w:t>
      </w:r>
      <w:r>
        <w:rPr>
          <w:color w:val="000000"/>
          <w:highlight w:val="white"/>
        </w:rPr>
        <w:t xml:space="preserve">сключе</w:t>
      </w:r>
      <w:r>
        <w:rPr>
          <w:color w:val="000000"/>
          <w:highlight w:val="white"/>
        </w:rPr>
        <w:t xml:space="preserve">ние </w:t>
      </w:r>
      <w:r>
        <w:rPr>
          <w:color w:val="000000"/>
          <w:highlight w:val="white"/>
        </w:rPr>
        <w:t xml:space="preserve">слов «первичная упаковка» </w:t>
      </w:r>
      <w:r>
        <w:rPr>
          <w:color w:val="000000"/>
          <w:highlight w:val="white"/>
        </w:rPr>
        <w:t xml:space="preserve">из пункта 14 Приказа Министерства здравоохранения РФ от 24.11.2021 №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w:t>
      </w:r>
      <w:r>
        <w:rPr>
          <w:color w:val="000000"/>
          <w:highlight w:val="white"/>
        </w:rPr>
        <w:t xml:space="preserve">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w:t>
      </w:r>
      <w:r>
        <w:rPr>
          <w:color w:val="000000"/>
          <w:highlight w:val="white"/>
        </w:rPr>
        <w:t xml:space="preserve"> врачебной (семейной) практики), расположенными в сельских поселениях, в которых отсутствуют аптечные организации, а также Правил отпуска наркотических средств и психотропных веществ, зарегистрированных в качестве лекарственных препаратов для медицинского </w:t>
      </w:r>
      <w:r>
        <w:rPr>
          <w:color w:val="000000"/>
          <w:highlight w:val="white"/>
        </w:rPr>
        <w:t xml:space="preserve">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w:t>
      </w:r>
      <w:r>
        <w:rPr>
          <w:color w:val="000000"/>
          <w:highlight w:val="white"/>
        </w:rPr>
      </w:r>
      <w:r>
        <w:rPr>
          <w:color w:val="000000"/>
          <w:highlight w:val="white"/>
        </w:rPr>
      </w:r>
    </w:p>
    <w:p>
      <w:pPr>
        <w:ind w:left="0" w:right="0" w:firstLine="709"/>
        <w:spacing w:line="269" w:lineRule="auto"/>
        <w:rPr>
          <w:color w:val="000000"/>
          <w:highlight w:val="white"/>
        </w:rPr>
      </w:pPr>
      <w:r>
        <w:rPr>
          <w:highlight w:val="none"/>
        </w:rPr>
        <w:t xml:space="preserve">7) </w:t>
      </w:r>
      <w:r>
        <w:rPr>
          <w:highlight w:val="white"/>
        </w:rPr>
        <w:t xml:space="preserve">Включение в составы антинаркотических комиссий муниципальных образований автономного округа представителей военных комиссариатов, для выработки решений направленных на</w:t>
      </w:r>
      <w:r>
        <w:rPr>
          <w:color w:val="000000"/>
          <w:highlight w:val="white"/>
        </w:rPr>
        <w:t xml:space="preserve"> профилактику немедицинского потребления психоактивных веществ среди военнослужащих, пребывающих из зоны проведения СВО, оказания им своевременной медицинской, психологической и социальной помощи.</w:t>
      </w:r>
      <w:r>
        <w:rPr>
          <w:color w:val="000000"/>
          <w:highlight w:val="white"/>
        </w:rPr>
      </w:r>
      <w:r>
        <w:rPr>
          <w:color w:val="000000"/>
          <w:highlight w:val="white"/>
        </w:rPr>
      </w:r>
    </w:p>
    <w:p>
      <w:pPr>
        <w:ind w:left="0" w:right="0" w:firstLine="709"/>
        <w:spacing w:line="269" w:lineRule="auto"/>
        <w:tabs>
          <w:tab w:val="left" w:pos="1276" w:leader="none"/>
          <w:tab w:val="left" w:pos="1843" w:leader="none"/>
        </w:tabs>
        <w:rPr>
          <w:highlight w:val="white"/>
        </w:rPr>
      </w:pPr>
      <w:r>
        <w:rPr>
          <w:rFonts w:eastAsia="Calibri"/>
          <w:highlight w:val="none"/>
        </w:rPr>
        <w:t xml:space="preserve">8) </w:t>
      </w:r>
      <w:r>
        <w:rPr>
          <w:rFonts w:eastAsia="Calibri"/>
          <w:highlight w:val="none"/>
        </w:rPr>
        <w:t xml:space="preserve">Органам управления в сфере образования и </w:t>
      </w:r>
      <w:r>
        <w:rPr>
          <w:highlight w:val="none"/>
        </w:rPr>
        <w:t xml:space="preserve">р</w:t>
      </w:r>
      <w:r>
        <w:rPr>
          <w:highlight w:val="white"/>
        </w:rPr>
        <w:t xml:space="preserve">уководителям образовательных организаций автономного округа</w:t>
      </w:r>
      <w:r>
        <w:rPr>
          <w:highlight w:val="white"/>
        </w:rPr>
        <w:t xml:space="preserve">: </w:t>
      </w:r>
      <w:r>
        <w:rPr>
          <w:highlight w:val="white"/>
        </w:rPr>
      </w:r>
      <w:r>
        <w:rPr>
          <w:highlight w:val="white"/>
        </w:rPr>
      </w:r>
    </w:p>
    <w:p>
      <w:pPr>
        <w:contextualSpacing/>
        <w:ind w:firstLine="709"/>
        <w:spacing w:line="269" w:lineRule="auto"/>
        <w:tabs>
          <w:tab w:val="left" w:pos="1276" w:leader="none"/>
          <w:tab w:val="left" w:pos="1843" w:leader="none"/>
        </w:tabs>
        <w:rPr>
          <w:highlight w:val="white"/>
        </w:rPr>
      </w:pPr>
      <w:r>
        <w:rPr>
          <w:highlight w:val="none"/>
        </w:rPr>
        <w:t xml:space="preserve">сохранение высокого уровня </w:t>
      </w:r>
      <w:r>
        <w:rPr>
          <w:highlight w:val="none"/>
        </w:rPr>
        <w:t xml:space="preserve">ор</w:t>
      </w:r>
      <w:r>
        <w:rPr>
          <w:highlight w:val="white"/>
        </w:rPr>
        <w:t xml:space="preserve">ганизации</w:t>
      </w:r>
      <w:r>
        <w:rPr>
          <w:highlight w:val="white"/>
        </w:rPr>
        <w:t xml:space="preserve"> и проведения соц</w:t>
      </w:r>
      <w:r>
        <w:rPr>
          <w:highlight w:val="white"/>
        </w:rPr>
        <w:t xml:space="preserve">иально-психологического тестирования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w:t>
      </w:r>
      <w:r>
        <w:rPr>
          <w:highlight w:val="white"/>
        </w:rPr>
        <w:t xml:space="preserve"> от участия в тестировании</w:t>
      </w:r>
      <w:r>
        <w:rPr>
          <w:highlight w:val="white"/>
        </w:rPr>
        <w:t xml:space="preserve">;</w:t>
      </w:r>
      <w:r>
        <w:rPr>
          <w:highlight w:val="white"/>
        </w:rPr>
      </w:r>
      <w:r>
        <w:rPr>
          <w:highlight w:val="white"/>
        </w:rPr>
      </w:r>
    </w:p>
    <w:p>
      <w:pPr>
        <w:contextualSpacing/>
        <w:ind w:firstLine="709"/>
        <w:spacing w:line="269" w:lineRule="auto"/>
        <w:tabs>
          <w:tab w:val="left" w:pos="1276" w:leader="none"/>
          <w:tab w:val="left" w:pos="1843" w:leader="none"/>
        </w:tabs>
        <w:rPr>
          <w:highlight w:val="white"/>
        </w:rPr>
      </w:pPr>
      <w:r>
        <w:rPr>
          <w:highlight w:val="white"/>
        </w:rPr>
      </w:r>
      <w:r>
        <w:rPr>
          <w:rFonts w:ascii="Times New Roman" w:hAnsi="Times New Roman" w:eastAsia="Times New Roman" w:cs="Times New Roman"/>
          <w:b w:val="0"/>
          <w:bCs w:val="0"/>
          <w:color w:val="000000"/>
          <w:sz w:val="28"/>
          <w:szCs w:val="28"/>
          <w:highlight w:val="white"/>
        </w:rPr>
        <w:t xml:space="preserve">организация профилактической работы в течение </w:t>
      </w:r>
      <w:r>
        <w:rPr>
          <w:rFonts w:ascii="Times New Roman" w:hAnsi="Times New Roman" w:eastAsia="Times New Roman" w:cs="Times New Roman"/>
          <w:b w:val="0"/>
          <w:bCs w:val="0"/>
          <w:color w:val="000000"/>
          <w:sz w:val="28"/>
          <w:szCs w:val="28"/>
          <w:highlight w:val="white"/>
        </w:rPr>
        <w:t xml:space="preserve">учебного </w:t>
      </w:r>
      <w:r>
        <w:rPr>
          <w:rFonts w:ascii="Times New Roman" w:hAnsi="Times New Roman" w:eastAsia="Times New Roman" w:cs="Times New Roman"/>
          <w:b w:val="0"/>
          <w:bCs w:val="0"/>
          <w:color w:val="000000"/>
          <w:sz w:val="28"/>
          <w:szCs w:val="28"/>
          <w:highlight w:val="white"/>
        </w:rPr>
        <w:t xml:space="preserve">года с обучающимися «группы риска»</w:t>
      </w:r>
      <w:r>
        <w:rPr>
          <w:rFonts w:ascii="Times New Roman" w:hAnsi="Times New Roman" w:eastAsia="Times New Roman" w:cs="Times New Roman"/>
          <w:b w:val="0"/>
          <w:bCs w:val="0"/>
          <w:color w:val="000000"/>
          <w:sz w:val="28"/>
          <w:szCs w:val="28"/>
          <w:highlight w:val="white"/>
        </w:rPr>
        <w:t xml:space="preserve"> (по результатам тестирования)</w:t>
      </w:r>
      <w:r>
        <w:rPr>
          <w:rFonts w:ascii="Times New Roman" w:hAnsi="Times New Roman" w:eastAsia="Times New Roman" w:cs="Times New Roman"/>
          <w:b w:val="0"/>
          <w:bCs w:val="0"/>
          <w:sz w:val="28"/>
          <w:szCs w:val="28"/>
          <w:highlight w:val="white"/>
        </w:rPr>
        <w:t xml:space="preserve"> и их родителями (законными представителями), с участием </w:t>
      </w:r>
      <w:r>
        <w:rPr>
          <w:rFonts w:ascii="Times New Roman" w:hAnsi="Times New Roman" w:eastAsia="Times New Roman" w:cs="Times New Roman"/>
          <w:b w:val="0"/>
          <w:bCs w:val="0"/>
          <w:color w:val="000000"/>
          <w:sz w:val="28"/>
          <w:szCs w:val="28"/>
        </w:rPr>
        <w:t xml:space="preserve">Центров психолого-педагогической, медицинской и социальной помощи</w:t>
      </w:r>
      <w:r>
        <w:rPr>
          <w:rFonts w:ascii="Times New Roman" w:hAnsi="Times New Roman" w:eastAsia="Times New Roman" w:cs="Times New Roman"/>
          <w:b w:val="0"/>
          <w:bCs w:val="0"/>
          <w:sz w:val="28"/>
          <w:szCs w:val="28"/>
          <w:highlight w:val="none"/>
        </w:rPr>
        <w:t xml:space="preserve"> </w:t>
      </w:r>
      <w:r>
        <w:rPr>
          <w:rFonts w:ascii="Times New Roman" w:hAnsi="Times New Roman" w:eastAsia="Times New Roman" w:cs="Times New Roman"/>
          <w:b w:val="0"/>
          <w:bCs w:val="0"/>
          <w:sz w:val="28"/>
          <w:szCs w:val="28"/>
          <w:highlight w:val="white"/>
        </w:rPr>
        <w:t xml:space="preserve">и профильных не</w:t>
      </w:r>
      <w:r>
        <w:rPr>
          <w:rFonts w:ascii="Times New Roman" w:hAnsi="Times New Roman" w:eastAsia="Times New Roman" w:cs="Times New Roman"/>
          <w:b w:val="0"/>
          <w:bCs w:val="0"/>
          <w:sz w:val="28"/>
          <w:szCs w:val="28"/>
          <w:highlight w:val="white"/>
        </w:rPr>
        <w:t xml:space="preserve">коммерческих организаций</w:t>
      </w:r>
      <w:r>
        <w:rPr>
          <w:highlight w:val="none"/>
        </w:rPr>
        <w:t xml:space="preserve">.</w:t>
      </w:r>
      <w:r>
        <w:rPr>
          <w:highlight w:val="white"/>
        </w:rPr>
      </w:r>
      <w:r>
        <w:rPr>
          <w:highlight w:val="white"/>
        </w:rPr>
      </w:r>
    </w:p>
    <w:p>
      <w:pPr>
        <w:ind w:left="0" w:right="0" w:firstLine="709"/>
        <w:spacing w:line="269" w:lineRule="auto"/>
        <w:rPr>
          <w:color w:val="000000"/>
          <w:highlight w:val="white"/>
          <w:shd w:val="clear" w:color="auto" w:fill="ffffff"/>
        </w:rPr>
      </w:pPr>
      <w:r>
        <w:rPr>
          <w:highlight w:val="none"/>
        </w:rPr>
        <w:t xml:space="preserve">9) </w:t>
      </w:r>
      <w:r>
        <w:rPr>
          <w:highlight w:val="white"/>
        </w:rPr>
        <w:t xml:space="preserve">Проведение на постоянной основе профила</w:t>
      </w:r>
      <w:r>
        <w:rPr>
          <w:highlight w:val="white"/>
        </w:rPr>
        <w:t xml:space="preserve">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w:t>
      </w:r>
      <w:r>
        <w:rPr>
          <w:color w:val="000000"/>
          <w:highlight w:val="white"/>
          <w:shd w:val="clear" w:color="auto" w:fill="ffffff"/>
        </w:rPr>
      </w:r>
      <w:r>
        <w:rPr>
          <w:color w:val="000000"/>
          <w:highlight w:val="white"/>
          <w:shd w:val="clear" w:color="auto" w:fill="ffffff"/>
        </w:rPr>
      </w:r>
    </w:p>
    <w:p>
      <w:pPr>
        <w:ind w:left="0" w:right="0" w:firstLine="709"/>
        <w:spacing w:line="269" w:lineRule="auto"/>
        <w:rPr>
          <w:color w:val="000000"/>
          <w:highlight w:val="white"/>
        </w:rPr>
      </w:pPr>
      <w:r>
        <w:rPr>
          <w:highlight w:val="none"/>
        </w:rPr>
        <w:t xml:space="preserve">10) </w:t>
      </w:r>
      <w:r>
        <w:rPr>
          <w:highlight w:val="none"/>
        </w:rPr>
        <w:t xml:space="preserve">Ф</w:t>
      </w:r>
      <w:r>
        <w:rPr>
          <w:highlight w:val="white"/>
        </w:rPr>
        <w:t xml:space="preserve">ормировани</w:t>
      </w:r>
      <w:r>
        <w:rPr>
          <w:highlight w:val="white"/>
        </w:rPr>
        <w:t xml:space="preserve">е в обществе осознанного негативного отношения к незаконному потреблению наркотиков и участию в их незаконном обороте, посредством </w:t>
      </w:r>
      <w:r>
        <w:rPr>
          <w:color w:val="000000"/>
          <w:highlight w:val="none"/>
        </w:rPr>
        <w:t xml:space="preserve">проведения информацио</w:t>
      </w:r>
      <w:r>
        <w:rPr>
          <w:color w:val="000000"/>
          <w:highlight w:val="none"/>
        </w:rPr>
        <w:t xml:space="preserve">нно-разъяснительной работы с населением и его целевыми группами</w:t>
      </w:r>
      <w:r>
        <w:rPr>
          <w:color w:val="000000"/>
          <w:highlight w:val="none"/>
        </w:rPr>
        <w:t xml:space="preserve">.</w:t>
      </w:r>
      <w:r>
        <w:rPr>
          <w:color w:val="000000"/>
          <w:highlight w:val="white"/>
        </w:rPr>
      </w:r>
      <w:r>
        <w:rPr>
          <w:color w:val="000000"/>
          <w:highlight w:val="white"/>
        </w:rPr>
      </w:r>
    </w:p>
    <w:p>
      <w:pPr>
        <w:pStyle w:val="1652"/>
        <w:ind w:left="709" w:firstLine="0"/>
        <w:spacing w:line="276" w:lineRule="auto"/>
        <w:rPr>
          <w:highlight w:val="white"/>
        </w:rPr>
      </w:pPr>
      <w:r>
        <w:rPr>
          <w:highlight w:val="white"/>
        </w:rPr>
      </w:r>
      <w:r>
        <w:rPr>
          <w:highlight w:val="white"/>
        </w:rPr>
      </w:r>
      <w:r>
        <w:rPr>
          <w:highlight w:val="white"/>
        </w:rPr>
      </w:r>
    </w:p>
    <w:sectPr>
      <w:headerReference w:type="default" r:id="rId13"/>
      <w:headerReference w:type="first" r:id="rId14"/>
      <w:footerReference w:type="first" r:id="rId18"/>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imSun">
    <w:panose1 w:val="02010600030101010101"/>
  </w:font>
  <w:font w:name="Symbol">
    <w:panose1 w:val="05050102010706020507"/>
  </w:font>
  <w:font w:name="Wingdings">
    <w:panose1 w:val="05000000000000000000"/>
  </w:font>
  <w:font w:name="Tahoma">
    <w:panose1 w:val="020B0604030504040204"/>
  </w:font>
  <w:font w:name="Lucida Sans Unicode">
    <w:panose1 w:val="020B0602030504020204"/>
  </w:font>
  <w:font w:name="Verdana">
    <w:panose1 w:val="020B0604030504040204"/>
  </w:font>
  <w:font w:name="Microsoft Sans Serif">
    <w:panose1 w:val="020B0604020202020204"/>
  </w:font>
  <w:font w:name="Segoe UI">
    <w:panose1 w:val="020B0502040204020203"/>
  </w:font>
  <w:font w:name="Courier New">
    <w:panose1 w:val="02070309020205020404"/>
  </w:font>
  <w:font w:name="Calibri">
    <w:panose1 w:val="020F0502020204030204"/>
  </w:font>
  <w:font w:name="Cambria">
    <w:panose1 w:val="02040503050406030204"/>
  </w:font>
  <w:font w:name="Times New Roman">
    <w:panose1 w:val="02020603050405020304"/>
  </w:font>
  <w:font w:name="PT Astra Serif">
    <w:panose1 w:val="020A0603040505020204"/>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39046988"/>
      <w:docPartObj>
        <w:docPartGallery w:val="Page Numbers (Bottom of Page)"/>
        <w:docPartUnique w:val="true"/>
      </w:docPartObj>
      <w:rPr/>
    </w:sdtPr>
    <w:sdtContent>
      <w:p>
        <w:pPr>
          <w:pStyle w:val="1678"/>
          <w:ind w:firstLine="0"/>
          <w:jc w:val="center"/>
        </w:pPr>
        <w:r>
          <w:fldChar w:fldCharType="begin"/>
        </w:r>
        <w:r>
          <w:instrText xml:space="preserve">PAGE   \* MERGEFORMAT</w:instrText>
        </w:r>
        <w:r>
          <w:fldChar w:fldCharType="separate"/>
        </w:r>
        <w:r>
          <w:t xml:space="preserve">146</w:t>
        </w:r>
        <w:r>
          <w:fldChar w:fldCharType="end"/>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8"/>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8"/>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8"/>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 w:id="2">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Численность населения Российской Федерации по полу и возрасту на 1 января 2024 года. </w:t>
      </w:r>
      <w:r>
        <w:rPr>
          <w:rFonts w:ascii="Times New Roman" w:hAnsi="Times New Roman"/>
        </w:rPr>
        <w:t xml:space="preserve">ХМАО-</w:t>
      </w:r>
      <w:r>
        <w:rPr>
          <w:rFonts w:ascii="Times New Roman" w:hAnsi="Times New Roman"/>
        </w:rPr>
        <w:t xml:space="preserve">Югра</w:t>
      </w:r>
      <w:r>
        <w:rPr>
          <w:rFonts w:ascii="Times New Roman" w:hAnsi="Times New Roman"/>
        </w:rPr>
        <w:t xml:space="preserve"> </w:t>
      </w:r>
      <w:r>
        <w:rPr>
          <w:rFonts w:ascii="Times New Roman" w:hAnsi="Times New Roman"/>
        </w:rPr>
        <w:t xml:space="preserve">[электронный ресурс]. URL: </w:t>
      </w:r>
      <w:hyperlink r:id="rId1" w:tooltip="https://rosstat.gov.ru/compendium/document/13284" w:history="1">
        <w:r>
          <w:rPr>
            <w:rStyle w:val="1689"/>
            <w:rFonts w:ascii="Times New Roman" w:hAnsi="Times New Roman"/>
          </w:rPr>
          <w:t xml:space="preserve">https://rosstat.gov.ru/compendium/document/13284</w:t>
        </w:r>
      </w:hyperlink>
      <w:r>
        <w:rPr>
          <w:rFonts w:ascii="Times New Roman" w:hAnsi="Times New Roman"/>
        </w:rPr>
        <w:t xml:space="preserve"> </w:t>
      </w:r>
      <w:r>
        <w:rPr>
          <w:rFonts w:ascii="Times New Roman" w:hAnsi="Times New Roman"/>
        </w:rPr>
        <w:t xml:space="preserve">(дата последнего обращения: </w:t>
      </w:r>
      <w:r>
        <w:rPr>
          <w:rFonts w:ascii="Times New Roman" w:hAnsi="Times New Roman"/>
        </w:rPr>
        <w:t xml:space="preserve">24.02</w:t>
      </w:r>
      <w:r>
        <w:rPr>
          <w:rFonts w:ascii="Times New Roman" w:hAnsi="Times New Roman"/>
        </w:rPr>
        <w:t xml:space="preserve">.2025)</w:t>
      </w:r>
      <w:r>
        <w:rPr>
          <w:rFonts w:ascii="Times New Roman" w:hAnsi="Times New Roman"/>
        </w:rPr>
        <w:t xml:space="preserve">; </w:t>
      </w:r>
      <w:r>
        <w:rPr>
          <w:rFonts w:ascii="Times New Roman" w:hAnsi="Times New Roman"/>
        </w:rPr>
        <w:t xml:space="preserve">Среднегодовая численность населения в разрезе городских округов и муниципальных районов </w:t>
      </w:r>
      <w:r>
        <w:rPr>
          <w:rFonts w:ascii="Times New Roman" w:hAnsi="Times New Roman"/>
        </w:rPr>
        <w:t xml:space="preserve">ХМАО-Югры </w:t>
      </w:r>
      <w:r>
        <w:rPr>
          <w:rFonts w:ascii="Times New Roman" w:hAnsi="Times New Roman"/>
        </w:rPr>
        <w:t xml:space="preserve">за 2022-2023 годы [электронный ресурс]. URL:</w:t>
      </w:r>
      <w:r>
        <w:rPr>
          <w:rFonts w:ascii="Times New Roman" w:hAnsi="Times New Roman"/>
        </w:rPr>
        <w:t xml:space="preserve"> </w:t>
      </w:r>
      <w:hyperlink r:id="rId2" w:tooltip="https://72.rosstat.gov.ru/ofs_demp_hmao" w:history="1">
        <w:r>
          <w:rPr>
            <w:rStyle w:val="1689"/>
            <w:rFonts w:ascii="Times New Roman" w:hAnsi="Times New Roman"/>
          </w:rPr>
          <w:t xml:space="preserve">https://72.rosstat.gov.ru/ofs_demp_hmao</w:t>
        </w:r>
      </w:hyperlink>
      <w:r>
        <w:rPr>
          <w:rFonts w:ascii="Times New Roman" w:hAnsi="Times New Roman"/>
        </w:rPr>
        <w:t xml:space="preserve"> </w:t>
      </w:r>
      <w:r>
        <w:rPr>
          <w:rFonts w:ascii="Times New Roman" w:hAnsi="Times New Roman"/>
        </w:rPr>
        <w:t xml:space="preserve">(дата последнего обращения: 24.02.2025);</w:t>
      </w:r>
      <w:r>
        <w:rPr>
          <w:rFonts w:ascii="Times New Roman" w:hAnsi="Times New Roman"/>
        </w:rPr>
        <w:t xml:space="preserve"> С</w:t>
      </w:r>
      <w:r>
        <w:rPr>
          <w:rFonts w:ascii="Times New Roman" w:hAnsi="Times New Roman"/>
        </w:rPr>
        <w:t xml:space="preserve">ведения</w:t>
      </w:r>
      <w:r>
        <w:rPr>
          <w:rFonts w:ascii="Times New Roman" w:hAnsi="Times New Roman"/>
        </w:rPr>
        <w:t xml:space="preserve"> </w:t>
      </w:r>
      <w:r>
        <w:rPr>
          <w:rFonts w:ascii="Times New Roman" w:hAnsi="Times New Roman"/>
        </w:rPr>
        <w:t xml:space="preserve">о</w:t>
      </w:r>
      <w:r>
        <w:rPr>
          <w:rFonts w:ascii="Times New Roman" w:hAnsi="Times New Roman"/>
        </w:rPr>
        <w:t xml:space="preserve"> </w:t>
      </w:r>
      <w:r>
        <w:rPr>
          <w:rFonts w:ascii="Times New Roman" w:hAnsi="Times New Roman"/>
        </w:rPr>
        <w:t xml:space="preserve">возрастно-половом</w:t>
      </w:r>
      <w:r>
        <w:rPr>
          <w:rFonts w:ascii="Times New Roman" w:hAnsi="Times New Roman"/>
        </w:rPr>
        <w:t xml:space="preserve"> </w:t>
      </w:r>
      <w:r>
        <w:rPr>
          <w:rFonts w:ascii="Times New Roman" w:hAnsi="Times New Roman"/>
        </w:rPr>
        <w:t xml:space="preserve">составе</w:t>
      </w:r>
      <w:r>
        <w:rPr>
          <w:rFonts w:ascii="Times New Roman" w:hAnsi="Times New Roman"/>
        </w:rPr>
        <w:t xml:space="preserve"> </w:t>
      </w:r>
      <w:r>
        <w:rPr>
          <w:rFonts w:ascii="Times New Roman" w:hAnsi="Times New Roman"/>
        </w:rPr>
        <w:t xml:space="preserve">населения</w:t>
      </w:r>
      <w:r>
        <w:rPr>
          <w:rFonts w:ascii="Times New Roman" w:hAnsi="Times New Roman"/>
        </w:rPr>
        <w:t xml:space="preserve"> </w:t>
      </w:r>
      <w:r>
        <w:rPr>
          <w:rFonts w:ascii="Times New Roman" w:hAnsi="Times New Roman"/>
        </w:rPr>
        <w:t xml:space="preserve">в</w:t>
      </w:r>
      <w:r>
        <w:rPr>
          <w:rFonts w:ascii="Times New Roman" w:hAnsi="Times New Roman"/>
        </w:rPr>
        <w:t xml:space="preserve"> р</w:t>
      </w:r>
      <w:r>
        <w:rPr>
          <w:rFonts w:ascii="Times New Roman" w:hAnsi="Times New Roman"/>
        </w:rPr>
        <w:t xml:space="preserve">азрезе</w:t>
      </w:r>
      <w:r>
        <w:rPr>
          <w:rFonts w:ascii="Times New Roman" w:hAnsi="Times New Roman"/>
        </w:rPr>
        <w:t xml:space="preserve"> </w:t>
      </w:r>
      <w:r>
        <w:rPr>
          <w:rFonts w:ascii="Times New Roman" w:hAnsi="Times New Roman"/>
        </w:rPr>
        <w:t xml:space="preserve">городских</w:t>
      </w:r>
      <w:r>
        <w:rPr>
          <w:rFonts w:ascii="Times New Roman" w:hAnsi="Times New Roman"/>
        </w:rPr>
        <w:t xml:space="preserve"> </w:t>
      </w:r>
      <w:r>
        <w:rPr>
          <w:rFonts w:ascii="Times New Roman" w:hAnsi="Times New Roman"/>
        </w:rPr>
        <w:t xml:space="preserve">округов</w:t>
      </w:r>
      <w:r>
        <w:rPr>
          <w:rFonts w:ascii="Times New Roman" w:hAnsi="Times New Roman"/>
        </w:rPr>
        <w:t xml:space="preserve"> </w:t>
      </w:r>
      <w:r>
        <w:rPr>
          <w:rFonts w:ascii="Times New Roman" w:hAnsi="Times New Roman"/>
        </w:rPr>
        <w:t xml:space="preserve">и</w:t>
      </w:r>
      <w:r>
        <w:rPr>
          <w:rFonts w:ascii="Times New Roman" w:hAnsi="Times New Roman"/>
        </w:rPr>
        <w:t xml:space="preserve"> </w:t>
      </w:r>
      <w:r>
        <w:rPr>
          <w:rFonts w:ascii="Times New Roman" w:hAnsi="Times New Roman"/>
        </w:rPr>
        <w:t xml:space="preserve">муниципальных</w:t>
      </w:r>
      <w:r>
        <w:rPr>
          <w:rFonts w:ascii="Times New Roman" w:hAnsi="Times New Roman"/>
        </w:rPr>
        <w:t xml:space="preserve"> </w:t>
      </w:r>
      <w:r>
        <w:rPr>
          <w:rFonts w:ascii="Times New Roman" w:hAnsi="Times New Roman"/>
        </w:rPr>
        <w:t xml:space="preserve">районов</w:t>
      </w:r>
      <w:r>
        <w:rPr>
          <w:rFonts w:ascii="Times New Roman" w:hAnsi="Times New Roman"/>
        </w:rPr>
        <w:t xml:space="preserve"> </w:t>
      </w:r>
      <w:r>
        <w:rPr>
          <w:rFonts w:ascii="Times New Roman" w:hAnsi="Times New Roman"/>
        </w:rPr>
        <w:t xml:space="preserve">Ханты-Мансийского</w:t>
      </w:r>
      <w:r>
        <w:rPr>
          <w:rFonts w:ascii="Times New Roman" w:hAnsi="Times New Roman"/>
        </w:rPr>
        <w:t xml:space="preserve"> </w:t>
      </w:r>
      <w:r>
        <w:rPr>
          <w:rFonts w:ascii="Times New Roman" w:hAnsi="Times New Roman"/>
        </w:rPr>
        <w:t xml:space="preserve">автономного</w:t>
      </w:r>
      <w:r>
        <w:rPr>
          <w:rFonts w:ascii="Times New Roman" w:hAnsi="Times New Roman"/>
        </w:rPr>
        <w:t xml:space="preserve"> </w:t>
      </w:r>
      <w:r>
        <w:rPr>
          <w:rFonts w:ascii="Times New Roman" w:hAnsi="Times New Roman"/>
        </w:rPr>
        <w:t xml:space="preserve">округа</w:t>
      </w:r>
      <w:r>
        <w:rPr>
          <w:rFonts w:ascii="Times New Roman" w:hAnsi="Times New Roman"/>
        </w:rPr>
        <w:t xml:space="preserve"> </w:t>
      </w:r>
      <w:r>
        <w:rPr>
          <w:rFonts w:ascii="Times New Roman" w:hAnsi="Times New Roman"/>
        </w:rPr>
        <w:t xml:space="preserve">–</w:t>
      </w:r>
      <w:r>
        <w:rPr>
          <w:rFonts w:ascii="Times New Roman" w:hAnsi="Times New Roman"/>
        </w:rPr>
        <w:t xml:space="preserve"> </w:t>
      </w:r>
      <w:r>
        <w:rPr>
          <w:rFonts w:ascii="Times New Roman" w:hAnsi="Times New Roman"/>
        </w:rPr>
        <w:t xml:space="preserve">Югры</w:t>
      </w:r>
      <w:r>
        <w:rPr>
          <w:rFonts w:ascii="Times New Roman" w:hAnsi="Times New Roman"/>
        </w:rPr>
        <w:t xml:space="preserve"> </w:t>
      </w:r>
      <w:r>
        <w:rPr>
          <w:rFonts w:ascii="Times New Roman" w:hAnsi="Times New Roman"/>
        </w:rPr>
        <w:t xml:space="preserve">по</w:t>
      </w:r>
      <w:r>
        <w:rPr>
          <w:rFonts w:ascii="Times New Roman" w:hAnsi="Times New Roman"/>
        </w:rPr>
        <w:t xml:space="preserve"> </w:t>
      </w:r>
      <w:r>
        <w:rPr>
          <w:rFonts w:ascii="Times New Roman" w:hAnsi="Times New Roman"/>
        </w:rPr>
        <w:t xml:space="preserve">состоянию</w:t>
      </w:r>
      <w:r>
        <w:rPr>
          <w:rFonts w:ascii="Times New Roman" w:hAnsi="Times New Roman"/>
        </w:rPr>
        <w:t xml:space="preserve"> </w:t>
      </w:r>
      <w:r>
        <w:rPr>
          <w:rFonts w:ascii="Times New Roman" w:hAnsi="Times New Roman"/>
        </w:rPr>
        <w:t xml:space="preserve">на</w:t>
      </w:r>
      <w:r>
        <w:rPr>
          <w:rFonts w:ascii="Times New Roman" w:hAnsi="Times New Roman"/>
        </w:rPr>
        <w:t xml:space="preserve"> </w:t>
      </w:r>
      <w:r>
        <w:rPr>
          <w:rFonts w:ascii="Times New Roman" w:hAnsi="Times New Roman"/>
        </w:rPr>
        <w:br/>
      </w:r>
      <w:r>
        <w:rPr>
          <w:rFonts w:ascii="Times New Roman" w:hAnsi="Times New Roman"/>
        </w:rPr>
        <w:t xml:space="preserve">1</w:t>
      </w:r>
      <w:r>
        <w:rPr>
          <w:rFonts w:ascii="Times New Roman" w:hAnsi="Times New Roman"/>
        </w:rPr>
        <w:t xml:space="preserve"> </w:t>
      </w:r>
      <w:r>
        <w:rPr>
          <w:rFonts w:ascii="Times New Roman" w:hAnsi="Times New Roman"/>
        </w:rPr>
        <w:t xml:space="preserve">января</w:t>
      </w:r>
      <w:r>
        <w:rPr>
          <w:rFonts w:ascii="Times New Roman" w:hAnsi="Times New Roman"/>
        </w:rPr>
        <w:t xml:space="preserve"> </w:t>
      </w:r>
      <w:r>
        <w:rPr>
          <w:rFonts w:ascii="Times New Roman" w:hAnsi="Times New Roman"/>
        </w:rPr>
        <w:t xml:space="preserve">202</w:t>
      </w:r>
      <w:r>
        <w:rPr>
          <w:rFonts w:ascii="Times New Roman" w:hAnsi="Times New Roman"/>
        </w:rPr>
        <w:t xml:space="preserve">4 года. Письмо </w:t>
      </w:r>
      <w:r>
        <w:rPr>
          <w:rFonts w:ascii="Times New Roman" w:hAnsi="Times New Roman"/>
        </w:rPr>
        <w:t xml:space="preserve">Тюменьстата</w:t>
      </w:r>
      <w:r>
        <w:rPr>
          <w:rFonts w:ascii="Times New Roman" w:hAnsi="Times New Roman"/>
        </w:rPr>
        <w:t xml:space="preserve"> от 26.02.2025 № ЮК-Т74-08/905-ДР.</w:t>
      </w:r>
      <w:r>
        <w:rPr>
          <w:rFonts w:ascii="Times New Roman" w:hAnsi="Times New Roman"/>
        </w:rPr>
      </w:r>
      <w:r>
        <w:rPr>
          <w:rFonts w:ascii="Times New Roman" w:hAnsi="Times New Roman"/>
        </w:rPr>
      </w:r>
    </w:p>
  </w:footnote>
  <w:footnote w:id="3">
    <w:p>
      <w:pPr>
        <w:pStyle w:val="1653"/>
        <w:jc w:val="both"/>
      </w:pPr>
      <w:r>
        <w:rPr>
          <w:rStyle w:val="1655"/>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p>
  </w:footnote>
  <w:footnote w:id="4">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5">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w:t>
      </w:r>
      <w:r>
        <w:rPr>
          <w:rFonts w:ascii="Times New Roman" w:hAnsi="Times New Roman"/>
        </w:rPr>
        <w:t xml:space="preserve">сентябре</w:t>
      </w:r>
      <w:r>
        <w:rPr>
          <w:rFonts w:ascii="Times New Roman" w:hAnsi="Times New Roman"/>
        </w:rPr>
        <w:t xml:space="preserve"> 2024 года [электронный ресурс]. URL:  </w:t>
      </w:r>
      <w:hyperlink r:id="rId3" w:tooltip="https://72.rosstat.gov.ru/news/document/248616" w:history="1">
        <w:r>
          <w:rPr>
            <w:rStyle w:val="1689"/>
            <w:rFonts w:ascii="Times New Roman" w:hAnsi="Times New Roman"/>
          </w:rPr>
          <w:t xml:space="preserve">https://72.rosstat.gov.ru/news/document/248616</w:t>
        </w:r>
      </w:hyperlink>
      <w:r>
        <w:rPr>
          <w:rFonts w:ascii="Times New Roman" w:hAnsi="Times New Roman"/>
        </w:rPr>
        <w:t xml:space="preserve"> </w:t>
      </w:r>
      <w:r>
        <w:rPr>
          <w:rFonts w:ascii="Times New Roman" w:hAnsi="Times New Roman"/>
        </w:rPr>
        <w:t xml:space="preserve">(дата последнего обращения: 24.02.2025).</w:t>
      </w:r>
      <w:r>
        <w:rPr>
          <w:rFonts w:ascii="Times New Roman" w:hAnsi="Times New Roman"/>
        </w:rPr>
      </w:r>
      <w:r>
        <w:rPr>
          <w:rFonts w:ascii="Times New Roman" w:hAnsi="Times New Roman"/>
        </w:rPr>
      </w:r>
    </w:p>
  </w:footnote>
  <w:footnote w:id="6">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7">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январе-ноябре 2024 года [электронный ресурс]. URL:  </w:t>
      </w:r>
      <w:hyperlink r:id="rId4" w:tooltip="https://72.rosstat.gov.ru/news/document/253227" w:history="1">
        <w:r>
          <w:rPr>
            <w:rStyle w:val="1689"/>
            <w:rFonts w:ascii="Times New Roman" w:hAnsi="Times New Roman"/>
          </w:rPr>
          <w:t xml:space="preserve">https://72.rosstat.gov.ru/news/document/253227</w:t>
        </w:r>
      </w:hyperlink>
      <w:r>
        <w:rPr>
          <w:rFonts w:ascii="Times New Roman" w:hAnsi="Times New Roman"/>
        </w:rPr>
        <w:t xml:space="preserve"> </w:t>
      </w:r>
      <w:r>
        <w:rPr>
          <w:rFonts w:ascii="Times New Roman" w:hAnsi="Times New Roman"/>
        </w:rPr>
        <w:t xml:space="preserve">(дата последнего обращения: 24.02.2025)</w:t>
      </w:r>
      <w:r>
        <w:rPr>
          <w:rFonts w:ascii="Times New Roman" w:hAnsi="Times New Roman"/>
        </w:rPr>
        <w:t xml:space="preserve">.</w:t>
      </w:r>
      <w:r>
        <w:rPr>
          <w:rFonts w:ascii="Times New Roman" w:hAnsi="Times New Roman"/>
        </w:rPr>
      </w:r>
      <w:r>
        <w:rPr>
          <w:rFonts w:ascii="Times New Roman" w:hAnsi="Times New Roman"/>
        </w:rPr>
      </w:r>
    </w:p>
  </w:footnote>
  <w:footnote w:id="8">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январе-сентябре 2024 года [электронный ресурс]. URL:  </w:t>
      </w:r>
      <w:hyperlink r:id="rId5" w:tooltip="https://72.rosstat.gov.ru/news/document/248616" w:history="1">
        <w:r>
          <w:rPr>
            <w:rStyle w:val="1689"/>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9">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10">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январе-сентябре 2024 года [электронный ресурс]. URL:  </w:t>
      </w:r>
      <w:hyperlink r:id="rId6" w:tooltip="https://72.rosstat.gov.ru/news/document/248616" w:history="1">
        <w:r>
          <w:rPr>
            <w:rStyle w:val="1689"/>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11">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12">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январе-ноябре 2024 года [электронный ресурс]. URL:  </w:t>
      </w:r>
      <w:hyperlink r:id="rId7" w:tooltip="https://72.rosstat.gov.ru/news/document/253227" w:history="1">
        <w:r>
          <w:rPr>
            <w:rStyle w:val="1689"/>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13">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январе-ноябре 2024 года [электронный ресурс]. URL:  </w:t>
      </w:r>
      <w:hyperlink r:id="rId8" w:tooltip="https://72.rosstat.gov.ru/news/document/253227" w:history="1">
        <w:r>
          <w:rPr>
            <w:rStyle w:val="1689"/>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14">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15">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январе-ноябре 2024 года [электронный ресурс]. URL:  </w:t>
      </w:r>
      <w:hyperlink r:id="rId9" w:tooltip="https://72.rosstat.gov.ru/news/document/253227" w:history="1">
        <w:r>
          <w:rPr>
            <w:rStyle w:val="1689"/>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16">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17">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Там же.</w:t>
      </w:r>
      <w:r>
        <w:rPr>
          <w:rFonts w:ascii="Times New Roman" w:hAnsi="Times New Roman"/>
        </w:rPr>
      </w:r>
      <w:r>
        <w:rPr>
          <w:rFonts w:ascii="Times New Roman" w:hAnsi="Times New Roman"/>
        </w:rPr>
      </w:r>
    </w:p>
  </w:footnote>
  <w:footnote w:id="18">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Статистический ежегодник: Стат. сб. Ханты-Мансийский автономный округ – Югра в 2-х частях. Ч II.</w:t>
      </w:r>
      <w:r>
        <w:rPr>
          <w:rFonts w:ascii="Times New Roman" w:hAnsi="Times New Roman"/>
        </w:rPr>
        <w:t xml:space="preserve"> </w:t>
      </w:r>
      <w:r>
        <w:rPr>
          <w:rFonts w:ascii="Times New Roman" w:hAnsi="Times New Roman"/>
        </w:rPr>
        <w:t xml:space="preserve">(2017-2023)/ Управление Федеральной службы государственной статистики по Тюменской области, </w:t>
        <w:br/>
        <w:t xml:space="preserve">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19">
    <w:p>
      <w:pPr>
        <w:pStyle w:val="1653"/>
        <w:rPr>
          <w:rFonts w:ascii="Times New Roman" w:hAnsi="Times New Roman"/>
        </w:rPr>
      </w:pPr>
      <w:r>
        <w:rPr>
          <w:rStyle w:val="1655"/>
          <w:rFonts w:ascii="Times New Roman" w:hAnsi="Times New Roman"/>
        </w:rPr>
        <w:footnoteRef/>
      </w:r>
      <w:r>
        <w:rPr>
          <w:rFonts w:ascii="Times New Roman" w:hAnsi="Times New Roman"/>
        </w:rPr>
        <w:t xml:space="preserve"> Там же.</w:t>
      </w:r>
      <w:r>
        <w:rPr>
          <w:rFonts w:ascii="Times New Roman" w:hAnsi="Times New Roman"/>
        </w:rPr>
      </w:r>
      <w:r>
        <w:rPr>
          <w:rFonts w:ascii="Times New Roman" w:hAnsi="Times New Roman"/>
        </w:rPr>
      </w:r>
    </w:p>
  </w:footnote>
  <w:footnote w:id="20">
    <w:p>
      <w:pPr>
        <w:pStyle w:val="1653"/>
        <w:jc w:val="both"/>
      </w:pPr>
      <w:r>
        <w:rPr>
          <w:rStyle w:val="1655"/>
        </w:rPr>
        <w:footnoteRef/>
      </w:r>
      <w:r>
        <w:t xml:space="preserve"> </w:t>
      </w:r>
      <w:r>
        <w:rPr>
          <w:rFonts w:ascii="Times New Roman" w:hAnsi="Times New Roman"/>
        </w:rPr>
        <w:t xml:space="preserve">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p>
  </w:footnote>
  <w:footnote w:id="21">
    <w:p>
      <w:pPr>
        <w:pStyle w:val="1653"/>
        <w:jc w:val="both"/>
      </w:pPr>
      <w:r>
        <w:rPr>
          <w:rStyle w:val="1655"/>
        </w:rPr>
        <w:footnoteRef/>
      </w:r>
      <w:r>
        <w:t xml:space="preserve"> </w:t>
      </w:r>
      <w:r>
        <w:rPr>
          <w:rFonts w:ascii="Times New Roman" w:hAnsi="Times New Roman"/>
        </w:rPr>
        <w:t xml:space="preserve">Основные показатели социально-экономического положения </w:t>
      </w:r>
      <w:r>
        <w:rPr>
          <w:rFonts w:ascii="Times New Roman" w:hAnsi="Times New Roman"/>
        </w:rPr>
        <w:t xml:space="preserve">ХМАО-</w:t>
      </w:r>
      <w:r>
        <w:rPr>
          <w:rFonts w:ascii="Times New Roman" w:hAnsi="Times New Roman"/>
        </w:rPr>
        <w:t xml:space="preserve">Югры в январе-сентябре 2024 года [электронный ресурс]. URL:  </w:t>
      </w:r>
      <w:hyperlink r:id="rId10" w:tooltip="https://72.rosstat.gov.ru/news/document/248616" w:history="1">
        <w:r>
          <w:rPr>
            <w:rStyle w:val="1689"/>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p>
  </w:footnote>
  <w:footnote w:id="22">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Статистический ежегодник: </w:t>
      </w:r>
      <w:r>
        <w:rPr>
          <w:rFonts w:ascii="Times New Roman" w:hAnsi="Times New Roman"/>
        </w:rPr>
        <w:t xml:space="preserve">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r>
        <w:rPr>
          <w:rFonts w:ascii="Times New Roman" w:hAnsi="Times New Roman"/>
        </w:rPr>
      </w:r>
      <w:r>
        <w:rPr>
          <w:rFonts w:ascii="Times New Roman" w:hAnsi="Times New Roman"/>
        </w:rPr>
      </w:r>
    </w:p>
  </w:footnote>
  <w:footnote w:id="23">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ХМАО-Югры в январе-сентябре 2024 года [электронный ресурс]. URL:  </w:t>
      </w:r>
      <w:hyperlink r:id="rId11" w:tooltip="https://72.rosstat.gov.ru/news/document/248616" w:history="1">
        <w:r>
          <w:rPr>
            <w:rStyle w:val="1689"/>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r>
        <w:rPr>
          <w:rFonts w:ascii="Times New Roman" w:hAnsi="Times New Roman"/>
        </w:rPr>
      </w:r>
    </w:p>
  </w:footnote>
  <w:footnote w:id="24">
    <w:p>
      <w:pPr>
        <w:pStyle w:val="1653"/>
        <w:rPr>
          <w:rFonts w:ascii="Times New Roman" w:hAnsi="Times New Roman"/>
        </w:rPr>
      </w:pPr>
      <w:r>
        <w:rPr>
          <w:rStyle w:val="1655"/>
          <w:rFonts w:ascii="Times New Roman" w:hAnsi="Times New Roman"/>
        </w:rPr>
        <w:footnoteRef/>
      </w:r>
      <w:r>
        <w:rPr>
          <w:rFonts w:ascii="Times New Roman" w:hAnsi="Times New Roman"/>
        </w:rPr>
        <w:t xml:space="preserve"> Там же.</w:t>
      </w:r>
      <w:r>
        <w:rPr>
          <w:rFonts w:ascii="Times New Roman" w:hAnsi="Times New Roman"/>
        </w:rPr>
      </w:r>
      <w:r>
        <w:rPr>
          <w:rFonts w:ascii="Times New Roman" w:hAnsi="Times New Roman"/>
        </w:rPr>
      </w:r>
    </w:p>
  </w:footnote>
  <w:footnote w:id="25">
    <w:p>
      <w:pPr>
        <w:pStyle w:val="1653"/>
      </w:pPr>
      <w:r>
        <w:rPr>
          <w:rStyle w:val="1655"/>
        </w:rPr>
        <w:footnoteRef/>
      </w:r>
      <w:r>
        <w:t xml:space="preserve"> </w:t>
      </w:r>
      <w:r>
        <w:rPr>
          <w:rFonts w:ascii="Times New Roman" w:hAnsi="Times New Roman"/>
        </w:rPr>
        <w:t xml:space="preserve">Там же. </w:t>
      </w:r>
      <w:r/>
    </w:p>
  </w:footnote>
  <w:footnote w:id="26">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Информационно-аналитическая справка за 2024 год</w:t>
      </w:r>
      <w:r>
        <w:rPr>
          <w:rFonts w:ascii="Times New Roman" w:hAnsi="Times New Roman"/>
        </w:rPr>
        <w:t xml:space="preserve"> Департамента труда и занятости населения </w:t>
        <w:br/>
      </w:r>
      <w:r>
        <w:rPr>
          <w:rFonts w:ascii="Times New Roman" w:hAnsi="Times New Roman"/>
        </w:rPr>
        <w:t xml:space="preserve">Ханты-Мансийского автономного округа – Югры</w:t>
      </w:r>
      <w:r>
        <w:rPr>
          <w:rFonts w:ascii="Times New Roman" w:hAnsi="Times New Roman"/>
        </w:rPr>
        <w:t xml:space="preserve"> от </w:t>
      </w:r>
      <w:r>
        <w:rPr>
          <w:rFonts w:ascii="Times New Roman" w:hAnsi="Times New Roman"/>
        </w:rPr>
        <w:t xml:space="preserve">17.01.2025, Исх. 17-Исх-211.</w:t>
      </w:r>
      <w:r>
        <w:rPr>
          <w:rFonts w:ascii="Times New Roman" w:hAnsi="Times New Roman"/>
        </w:rPr>
      </w:r>
      <w:r>
        <w:rPr>
          <w:rFonts w:ascii="Times New Roman" w:hAnsi="Times New Roman"/>
        </w:rPr>
      </w:r>
    </w:p>
  </w:footnote>
  <w:footnote w:id="27">
    <w:p>
      <w:pPr>
        <w:pStyle w:val="1644"/>
        <w:jc w:val="both"/>
        <w:spacing w:before="0" w:line="240" w:lineRule="auto"/>
        <w:shd w:val="clear" w:color="auto" w:fill="ffffff"/>
        <w:rPr>
          <w:rFonts w:ascii="Times New Roman" w:hAnsi="Times New Roman"/>
        </w:rPr>
      </w:pPr>
      <w:r>
        <w:rPr>
          <w:rStyle w:val="1655"/>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Численность и миграция населения Российской Федерации в 2023 году. Стат. </w:t>
      </w:r>
      <w:r>
        <w:rPr>
          <w:rFonts w:ascii="Times New Roman" w:hAnsi="Times New Roman"/>
          <w:b w:val="0"/>
          <w:sz w:val="20"/>
          <w:szCs w:val="20"/>
        </w:rPr>
        <w:t xml:space="preserve">бюл</w:t>
      </w:r>
      <w:r>
        <w:rPr>
          <w:rFonts w:ascii="Times New Roman" w:hAnsi="Times New Roman"/>
          <w:b w:val="0"/>
          <w:sz w:val="20"/>
          <w:szCs w:val="20"/>
        </w:rPr>
        <w:t xml:space="preserve">. / Росстат. 2024.</w:t>
      </w:r>
      <w:r>
        <w:rPr>
          <w:rFonts w:ascii="Times New Roman" w:hAnsi="Times New Roman"/>
        </w:rPr>
      </w:r>
      <w:r>
        <w:rPr>
          <w:rFonts w:ascii="Times New Roman" w:hAnsi="Times New Roman"/>
        </w:rPr>
      </w:r>
    </w:p>
  </w:footnote>
  <w:footnote w:id="28">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Информационный демографический бюллетень «О состоянии демографической ситуации в Ханты-Мансийском автономном округе – Югре в 2023 году». – Ханты-Мансийск: 2024</w:t>
      </w:r>
      <w:r>
        <w:rPr>
          <w:rFonts w:ascii="Times New Roman" w:hAnsi="Times New Roman"/>
        </w:rPr>
        <w:t xml:space="preserve">.</w:t>
      </w:r>
      <w:r>
        <w:rPr>
          <w:rFonts w:ascii="Times New Roman" w:hAnsi="Times New Roman"/>
        </w:rPr>
      </w:r>
      <w:r>
        <w:rPr>
          <w:rFonts w:ascii="Times New Roman" w:hAnsi="Times New Roman"/>
        </w:rPr>
      </w:r>
    </w:p>
  </w:footnote>
  <w:footnote w:id="29">
    <w:p>
      <w:r/>
      <w:r/>
    </w:p>
  </w:footnote>
  <w:footnote w:id="30">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w:t>
      </w:r>
      <w:r>
        <w:rPr>
          <w:rFonts w:ascii="Times New Roman" w:hAnsi="Times New Roman"/>
        </w:rPr>
        <w:t xml:space="preserve">.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Fonts w:ascii="Times New Roman" w:hAnsi="Times New Roman"/>
        </w:rPr>
      </w:r>
      <w:r>
        <w:rPr>
          <w:rFonts w:ascii="Times New Roman" w:hAnsi="Times New Roman"/>
        </w:rPr>
      </w:r>
    </w:p>
  </w:footnote>
  <w:footnote w:id="31">
    <w:p>
      <w:pPr>
        <w:pStyle w:val="1653"/>
        <w:jc w:val="both"/>
        <w:rPr>
          <w:rFonts w:ascii="Times New Roman" w:hAnsi="Times New Roman"/>
        </w:rPr>
      </w:pPr>
      <w:r>
        <w:rPr>
          <w:rStyle w:val="1655"/>
          <w:rFonts w:ascii="Times New Roman" w:hAnsi="Times New Roman"/>
        </w:rPr>
        <w:footnoteRef/>
      </w:r>
      <w:r>
        <w:rPr>
          <w:rFonts w:ascii="Times New Roman" w:hAnsi="Times New Roman"/>
        </w:rPr>
        <w:t xml:space="preserve"> </w:t>
      </w:r>
      <w:r>
        <w:rPr>
          <w:rFonts w:ascii="Times New Roman" w:hAnsi="Times New Roman"/>
        </w:rPr>
        <w:t xml:space="preserve">Утвержден</w:t>
      </w:r>
      <w:r>
        <w:rPr>
          <w:rFonts w:ascii="Times New Roman" w:hAnsi="Times New Roman"/>
        </w:rPr>
        <w:t xml:space="preserve"> приказом Министерства здравоохранения РФ от 30.12.201</w:t>
      </w:r>
      <w:r>
        <w:rPr>
          <w:rFonts w:ascii="Times New Roman" w:hAnsi="Times New Roman"/>
        </w:rP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rFonts w:ascii="Times New Roman" w:hAnsi="Times New Roman"/>
        </w:rPr>
      </w:r>
      <w:r>
        <w:rPr>
          <w:rFonts w:ascii="Times New Roman" w:hAnsi="Times New Roman"/>
        </w:rPr>
      </w:r>
    </w:p>
  </w:footnote>
  <w:footnote w:id="32">
    <w:p>
      <w:pPr>
        <w:pStyle w:val="1653"/>
        <w:rPr>
          <w:rFonts w:ascii="Times New Roman" w:hAnsi="Times New Roman"/>
        </w:rPr>
      </w:pPr>
      <w:r>
        <w:rPr>
          <w:rStyle w:val="1655"/>
          <w:rFonts w:ascii="Times New Roman" w:hAnsi="Times New Roman"/>
        </w:rPr>
        <w:footnoteRef/>
      </w:r>
      <w:r>
        <w:rPr>
          <w:rFonts w:ascii="Times New Roman" w:hAnsi="Times New Roman"/>
        </w:rPr>
        <w:t xml:space="preserve"> Здесь и далее – АППГ – ана</w:t>
      </w:r>
      <w:r>
        <w:rPr>
          <w:rFonts w:ascii="Times New Roman" w:hAnsi="Times New Roman"/>
        </w:rPr>
        <w:t xml:space="preserve">л</w:t>
      </w:r>
      <w:r>
        <w:rPr>
          <w:rFonts w:ascii="Times New Roman" w:hAnsi="Times New Roman"/>
        </w:rPr>
        <w:t xml:space="preserve">огичный показатель предыдущего года.</w:t>
      </w:r>
      <w:r>
        <w:rPr>
          <w:rFonts w:ascii="Times New Roman" w:hAnsi="Times New Roman"/>
        </w:rPr>
      </w:r>
      <w:r>
        <w:rPr>
          <w:rFonts w:ascii="Times New Roman" w:hAnsi="Times New Roman"/>
        </w:rPr>
      </w:r>
    </w:p>
  </w:footnote>
  <w:footnote w:id="33">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http://совцентр</w:t>
      </w:r>
      <w:r>
        <w:rPr>
          <w:rFonts w:ascii="Times New Roman" w:hAnsi="Times New Roman"/>
        </w:rPr>
        <w:t xml:space="preserve">.р</w:t>
      </w:r>
      <w:r>
        <w:rPr>
          <w:rFonts w:ascii="Times New Roman" w:hAnsi="Times New Roman"/>
        </w:rPr>
        <w:t xml:space="preserve">ф</w:t>
      </w:r>
      <w:r>
        <w:rPr>
          <w:rFonts w:ascii="Times New Roman" w:hAnsi="Times New Roman"/>
        </w:rPr>
      </w:r>
      <w:r>
        <w:rPr>
          <w:rFonts w:ascii="Times New Roman" w:hAnsi="Times New Roman"/>
        </w:rPr>
      </w:r>
    </w:p>
  </w:footnote>
  <w:footnote w:id="34">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https://depsr.admhmao.ru/sotsialnoe-obsluzhivanie-naseleniya/antinarkoticheskaya-</w:t>
      </w:r>
      <w:r>
        <w:rPr>
          <w:rFonts w:ascii="Times New Roman" w:hAnsi="Times New Roman"/>
          <w:lang w:val="en-US"/>
        </w:rPr>
        <w:t xml:space="preserve">deyatelnost</w:t>
      </w:r>
      <w:r>
        <w:rPr>
          <w:rFonts w:ascii="Times New Roman" w:hAnsi="Times New Roman"/>
        </w:rPr>
        <w:t xml:space="preserve">/1085018/</w:t>
      </w:r>
      <w:r>
        <w:rPr>
          <w:rFonts w:ascii="Times New Roman" w:hAnsi="Times New Roman"/>
          <w:lang w:val="en-US"/>
        </w:rPr>
        <w:t xml:space="preserve">reestr</w:t>
      </w:r>
      <w:r>
        <w:rPr>
          <w:rFonts w:ascii="Times New Roman" w:hAnsi="Times New Roman"/>
        </w:rPr>
        <w:t xml:space="preserve">-</w:t>
      </w:r>
      <w:r>
        <w:rPr>
          <w:rFonts w:ascii="Times New Roman" w:hAnsi="Times New Roman"/>
          <w:lang w:val="en-US"/>
        </w:rPr>
        <w:t xml:space="preserve">negosudarstvennykh</w:t>
      </w:r>
      <w:r>
        <w:rPr>
          <w:rFonts w:ascii="Times New Roman" w:hAnsi="Times New Roman"/>
        </w:rPr>
        <w:t xml:space="preserve">-</w:t>
      </w:r>
      <w:r>
        <w:rPr>
          <w:rFonts w:ascii="Times New Roman" w:hAnsi="Times New Roman"/>
          <w:lang w:val="en-US"/>
        </w:rPr>
        <w:t xml:space="preserve">organizatsiy</w:t>
      </w:r>
      <w:r>
        <w:rPr>
          <w:rFonts w:ascii="Times New Roman" w:hAnsi="Times New Roman"/>
        </w:rPr>
        <w:t xml:space="preserve">-</w:t>
      </w:r>
      <w:r>
        <w:rPr>
          <w:rFonts w:ascii="Times New Roman" w:hAnsi="Times New Roman"/>
          <w:lang w:val="en-US"/>
        </w:rPr>
        <w:t xml:space="preserve">osushchestvlyayushchikh</w:t>
      </w:r>
      <w:r>
        <w:rPr>
          <w:rFonts w:ascii="Times New Roman" w:hAnsi="Times New Roman"/>
        </w:rPr>
        <w:t xml:space="preserve">-</w:t>
      </w:r>
      <w:r>
        <w:rPr>
          <w:rFonts w:ascii="Times New Roman" w:hAnsi="Times New Roman"/>
          <w:lang w:val="en-US"/>
        </w:rPr>
        <w:t xml:space="preserve">kompleksnuyu</w:t>
      </w:r>
      <w:r>
        <w:rPr>
          <w:rFonts w:ascii="Times New Roman" w:hAnsi="Times New Roman"/>
        </w:rPr>
        <w:t xml:space="preserve">-reabilitatsiyu-i-resotsi/</w:t>
      </w:r>
      <w:r>
        <w:rPr>
          <w:rFonts w:ascii="Times New Roman" w:hAnsi="Times New Roman"/>
        </w:rPr>
      </w:r>
      <w:r>
        <w:rPr>
          <w:rFonts w:ascii="Times New Roman" w:hAnsi="Times New Roman"/>
        </w:rPr>
      </w:r>
    </w:p>
  </w:footnote>
  <w:footnote w:id="35">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https://феникснв</w:t>
      </w:r>
      <w:r>
        <w:rPr>
          <w:rFonts w:ascii="Times New Roman" w:hAnsi="Times New Roman"/>
        </w:rPr>
        <w:t xml:space="preserve">.р</w:t>
      </w:r>
      <w:r>
        <w:rPr>
          <w:rFonts w:ascii="Times New Roman" w:hAnsi="Times New Roman"/>
        </w:rPr>
        <w:t xml:space="preserve">ф/</w:t>
      </w:r>
      <w:r>
        <w:rPr>
          <w:rFonts w:ascii="Times New Roman" w:hAnsi="Times New Roman"/>
        </w:rPr>
      </w:r>
      <w:r>
        <w:rPr>
          <w:rFonts w:ascii="Times New Roman" w:hAnsi="Times New Roman"/>
        </w:rPr>
      </w:r>
    </w:p>
  </w:footnote>
  <w:footnote w:id="36">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https://чистыйпуть</w:t>
      </w:r>
      <w:r>
        <w:rPr>
          <w:rFonts w:ascii="Times New Roman" w:hAnsi="Times New Roman"/>
        </w:rPr>
        <w:t xml:space="preserve">.р</w:t>
      </w:r>
      <w:r>
        <w:rPr>
          <w:rFonts w:ascii="Times New Roman" w:hAnsi="Times New Roman"/>
        </w:rPr>
        <w:t xml:space="preserve">ус/</w:t>
      </w:r>
      <w:r>
        <w:rPr>
          <w:rFonts w:ascii="Times New Roman" w:hAnsi="Times New Roman"/>
        </w:rPr>
      </w:r>
      <w:r>
        <w:rPr>
          <w:rFonts w:ascii="Times New Roman" w:hAnsi="Times New Roman"/>
        </w:rPr>
      </w:r>
    </w:p>
  </w:footnote>
  <w:footnote w:id="37">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https://favor86.ru/</w:t>
      </w:r>
      <w:r>
        <w:rPr>
          <w:rFonts w:ascii="Times New Roman" w:hAnsi="Times New Roman"/>
        </w:rPr>
      </w:r>
      <w:r>
        <w:rPr>
          <w:rFonts w:ascii="Times New Roman" w:hAnsi="Times New Roman"/>
        </w:rPr>
      </w:r>
    </w:p>
  </w:footnote>
  <w:footnote w:id="38">
    <w:p>
      <w:pPr>
        <w:pStyle w:val="1653"/>
        <w:rPr>
          <w:rFonts w:ascii="Times New Roman" w:hAnsi="Times New Roman"/>
        </w:rPr>
      </w:pPr>
      <w:r>
        <w:rPr>
          <w:rStyle w:val="1655"/>
          <w:rFonts w:ascii="Times New Roman" w:hAnsi="Times New Roman"/>
        </w:rPr>
        <w:footnoteRef/>
      </w:r>
      <w:r>
        <w:rPr>
          <w:rFonts w:ascii="Times New Roman" w:hAnsi="Times New Roman"/>
        </w:rPr>
        <w:t xml:space="preserve"> https://fondvefil.nethouse.ru/</w:t>
      </w:r>
      <w:r>
        <w:rPr>
          <w:rFonts w:ascii="Times New Roman" w:hAnsi="Times New Roman"/>
        </w:rPr>
      </w:r>
      <w:r>
        <w:rPr>
          <w:rFonts w:ascii="Times New Roman" w:hAnsi="Times New Roman"/>
        </w:rPr>
      </w:r>
    </w:p>
  </w:footnote>
  <w:footnote w:id="39">
    <w:p>
      <w:pPr>
        <w:pStyle w:val="1653"/>
        <w:rPr>
          <w:rFonts w:ascii="Times New Roman" w:hAnsi="Times New Roman"/>
        </w:rPr>
      </w:pPr>
      <w:r>
        <w:rPr>
          <w:rStyle w:val="1655"/>
          <w:rFonts w:ascii="Times New Roman" w:hAnsi="Times New Roman"/>
        </w:rPr>
        <w:footnoteRef/>
      </w:r>
      <w:r>
        <w:rPr>
          <w:rFonts w:ascii="Times New Roman" w:hAnsi="Times New Roman"/>
        </w:rPr>
        <w:t xml:space="preserve"> Здесь и далее – п.г. – прошлый год.</w:t>
      </w:r>
      <w:r>
        <w:rPr>
          <w:rFonts w:ascii="Times New Roman" w:hAnsi="Times New Roman"/>
        </w:rPr>
      </w:r>
      <w:r>
        <w:rPr>
          <w:rFonts w:ascii="Times New Roman" w:hAnsi="Times New Roman"/>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7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pStyle w:val="1696"/>
      <w:isLgl w:val="false"/>
      <w:suff w:val="nothing"/>
      <w:lvlText w:val=""/>
      <w:lvlJc w:val="left"/>
      <w:pPr>
        <w:ind w:left="432" w:hanging="432"/>
      </w:pPr>
      <w:rPr>
        <w:rFonts w:cs="Times New Roman"/>
      </w:rPr>
    </w:lvl>
    <w:lvl w:ilvl="1">
      <w:start w:val="1"/>
      <w:numFmt w:val="none"/>
      <w:pStyle w:val="1697"/>
      <w:isLgl w:val="false"/>
      <w:suff w:val="nothing"/>
      <w:lvlText w:val=""/>
      <w:lvlJc w:val="left"/>
      <w:pPr>
        <w:ind w:left="576" w:hanging="576"/>
      </w:pPr>
      <w:rPr>
        <w:rFonts w:cs="Times New Roman"/>
      </w:rPr>
    </w:lvl>
    <w:lvl w:ilvl="2">
      <w:start w:val="1"/>
      <w:numFmt w:val="none"/>
      <w:pStyle w:val="1698"/>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4">
    <w:multiLevelType w:val="hybridMultilevel"/>
    <w:lvl w:ilvl="0">
      <w:start w:val="1"/>
      <w:numFmt w:val="decimal"/>
      <w:isLgl w:val="false"/>
      <w:suff w:val="tab"/>
      <w:lvlText w:val="%1."/>
      <w:lvlJc w:val="left"/>
      <w:pPr>
        <w:ind w:left="2422" w:hanging="360"/>
      </w:pPr>
      <w:rPr>
        <w:rFonts w:hint="default"/>
      </w:rPr>
    </w:lvl>
    <w:lvl w:ilvl="1">
      <w:start w:val="1"/>
      <w:numFmt w:val="decimal"/>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5">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7">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0" w:firstLine="0"/>
      </w:pPr>
      <w:rPr>
        <w:rFonts w:ascii="Times New Roman" w:hAnsi="Times New Roman" w:eastAsia="Times New Roman"/>
        <w:b w:val="0"/>
        <w:i w:val="0"/>
        <w:smallCaps w:val="0"/>
        <w:strike w:val="0"/>
        <w:color w:val="000000"/>
        <w:spacing w:val="0"/>
        <w:position w:val="0"/>
        <w:sz w:val="26"/>
        <w:u w:val="none"/>
      </w:rPr>
    </w:lvl>
    <w:lvl w:ilvl="1">
      <w:start w:val="1"/>
      <w:numFmt w:val="decimal"/>
      <w:isLgl w:val="false"/>
      <w:suff w:val="tab"/>
      <w:lvlText w:val=""/>
      <w:lvlJc w:val="left"/>
      <w:pPr>
        <w:ind w:left="0" w:firstLine="0"/>
      </w:pPr>
      <w:rPr>
        <w:rFonts w:cs="Times New Roman"/>
      </w:rPr>
    </w:lvl>
    <w:lvl w:ilvl="2">
      <w:start w:val="1"/>
      <w:numFmt w:val="decimal"/>
      <w:isLgl w:val="false"/>
      <w:suff w:val="tab"/>
      <w:lvlText w:val=""/>
      <w:lvlJc w:val="left"/>
      <w:pPr>
        <w:ind w:left="0" w:firstLine="0"/>
      </w:pPr>
      <w:rPr>
        <w:rFonts w:cs="Times New Roman"/>
      </w:rPr>
    </w:lvl>
    <w:lvl w:ilvl="3">
      <w:start w:val="1"/>
      <w:numFmt w:val="decimal"/>
      <w:isLgl w:val="false"/>
      <w:suff w:val="tab"/>
      <w:lvlText w:val=""/>
      <w:lvlJc w:val="left"/>
      <w:pPr>
        <w:ind w:left="0" w:firstLine="0"/>
      </w:pPr>
      <w:rPr>
        <w:rFonts w:cs="Times New Roman"/>
      </w:rPr>
    </w:lvl>
    <w:lvl w:ilvl="4">
      <w:start w:val="1"/>
      <w:numFmt w:val="decimal"/>
      <w:isLgl w:val="false"/>
      <w:suff w:val="tab"/>
      <w:lvlText w:val=""/>
      <w:lvlJc w:val="left"/>
      <w:pPr>
        <w:ind w:left="0" w:firstLine="0"/>
      </w:pPr>
      <w:rPr>
        <w:rFonts w:cs="Times New Roman"/>
      </w:rPr>
    </w:lvl>
    <w:lvl w:ilvl="5">
      <w:start w:val="1"/>
      <w:numFmt w:val="decimal"/>
      <w:isLgl w:val="false"/>
      <w:suff w:val="tab"/>
      <w:lvlText w:val=""/>
      <w:lvlJc w:val="left"/>
      <w:pPr>
        <w:ind w:left="0" w:firstLine="0"/>
      </w:pPr>
      <w:rPr>
        <w:rFonts w:cs="Times New Roman"/>
      </w:rPr>
    </w:lvl>
    <w:lvl w:ilvl="6">
      <w:start w:val="1"/>
      <w:numFmt w:val="decimal"/>
      <w:isLgl w:val="false"/>
      <w:suff w:val="tab"/>
      <w:lvlText w:val=""/>
      <w:lvlJc w:val="left"/>
      <w:pPr>
        <w:ind w:left="0" w:firstLine="0"/>
      </w:pPr>
      <w:rPr>
        <w:rFonts w:cs="Times New Roman"/>
      </w:rPr>
    </w:lvl>
    <w:lvl w:ilvl="7">
      <w:start w:val="1"/>
      <w:numFmt w:val="decimal"/>
      <w:isLgl w:val="false"/>
      <w:suff w:val="tab"/>
      <w:lvlText w:val=""/>
      <w:lvlJc w:val="left"/>
      <w:pPr>
        <w:ind w:left="0" w:firstLine="0"/>
      </w:pPr>
      <w:rPr>
        <w:rFonts w:cs="Times New Roman"/>
      </w:rPr>
    </w:lvl>
    <w:lvl w:ilvl="8">
      <w:start w:val="1"/>
      <w:numFmt w:val="decimal"/>
      <w:isLgl w:val="false"/>
      <w:suff w:val="tab"/>
      <w:lvlText w:val=""/>
      <w:lvlJc w:val="left"/>
      <w:pPr>
        <w:ind w:left="0" w:firstLine="0"/>
      </w:pPr>
      <w:rPr>
        <w:rFonts w:cs="Times New Roman"/>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3"/>
      <w:numFmt w:val="bullet"/>
      <w:isLgl w:val="false"/>
      <w:suff w:val="tab"/>
      <w:lvlText w:val="-"/>
      <w:lvlJc w:val="left"/>
      <w:pPr>
        <w:ind w:left="720" w:hanging="360"/>
      </w:pPr>
      <w:rPr>
        <w:rFonts w:hint="default" w:ascii="Times New Roman" w:hAnsi="Times New Roman" w:cs="Times New Roman" w:eastAsiaTheme="minorHAnsi"/>
      </w:rPr>
    </w:lvl>
    <w:lvl w:ilvl="1">
      <w:start w:val="3"/>
      <w:numFmt w:val="bullet"/>
      <w:isLgl w:val="false"/>
      <w:suff w:val="tab"/>
      <w:lvlText w:val="-"/>
      <w:lvlJc w:val="left"/>
      <w:pPr>
        <w:ind w:left="1440" w:hanging="360"/>
      </w:pPr>
      <w:rPr>
        <w:rFonts w:hint="default" w:ascii="Times New Roman" w:hAnsi="Times New Roman" w:cs="Times New Roman" w:eastAsiaTheme="minorHAnsi"/>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2015"/>
      <w:numFmt w:val="decimal"/>
      <w:isLgl w:val="false"/>
      <w:suff w:val="tab"/>
      <w:lvlText w:val="%1"/>
      <w:lvlJc w:val="left"/>
      <w:pPr>
        <w:ind w:left="1309" w:hanging="60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3">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14">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1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7">
    <w:multiLevelType w:val="hybridMultilevel"/>
    <w:lvl w:ilvl="0">
      <w:start w:val="5"/>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8">
    <w:multiLevelType w:val="hybridMultilevel"/>
    <w:lvl w:ilvl="0">
      <w:start w:val="1"/>
      <w:numFmt w:val="decimal"/>
      <w:isLgl w:val="false"/>
      <w:suff w:val="tab"/>
      <w:lvlText w:val="%1."/>
      <w:lvlJc w:val="left"/>
      <w:pPr>
        <w:ind w:left="157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2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2">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23">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4">
    <w:multiLevelType w:val="hybridMultilevel"/>
    <w:lvl w:ilvl="0">
      <w:start w:val="1"/>
      <w:numFmt w:val="decimal"/>
      <w:isLgl w:val="false"/>
      <w:suff w:val="tab"/>
      <w:lvlText w:val="%1)"/>
      <w:lvlJc w:val="left"/>
      <w:pPr>
        <w:ind w:left="1102" w:hanging="360"/>
      </w:pPr>
      <w:rPr>
        <w:rFonts w:hint="default"/>
      </w:rPr>
    </w:lvl>
    <w:lvl w:ilvl="1">
      <w:start w:val="1"/>
      <w:numFmt w:val="lowerLetter"/>
      <w:isLgl w:val="false"/>
      <w:suff w:val="tab"/>
      <w:lvlText w:val="%2."/>
      <w:lvlJc w:val="left"/>
      <w:pPr>
        <w:ind w:left="1822" w:hanging="360"/>
      </w:pPr>
    </w:lvl>
    <w:lvl w:ilvl="2">
      <w:start w:val="1"/>
      <w:numFmt w:val="lowerRoman"/>
      <w:isLgl w:val="false"/>
      <w:suff w:val="tab"/>
      <w:lvlText w:val="%3."/>
      <w:lvlJc w:val="right"/>
      <w:pPr>
        <w:ind w:left="2542" w:hanging="180"/>
      </w:pPr>
    </w:lvl>
    <w:lvl w:ilvl="3">
      <w:start w:val="1"/>
      <w:numFmt w:val="decimal"/>
      <w:isLgl w:val="false"/>
      <w:suff w:val="tab"/>
      <w:lvlText w:val="%4."/>
      <w:lvlJc w:val="left"/>
      <w:pPr>
        <w:ind w:left="3262" w:hanging="360"/>
      </w:pPr>
    </w:lvl>
    <w:lvl w:ilvl="4">
      <w:start w:val="1"/>
      <w:numFmt w:val="lowerLetter"/>
      <w:isLgl w:val="false"/>
      <w:suff w:val="tab"/>
      <w:lvlText w:val="%5."/>
      <w:lvlJc w:val="left"/>
      <w:pPr>
        <w:ind w:left="3982" w:hanging="360"/>
      </w:pPr>
    </w:lvl>
    <w:lvl w:ilvl="5">
      <w:start w:val="1"/>
      <w:numFmt w:val="lowerRoman"/>
      <w:isLgl w:val="false"/>
      <w:suff w:val="tab"/>
      <w:lvlText w:val="%6."/>
      <w:lvlJc w:val="right"/>
      <w:pPr>
        <w:ind w:left="4702" w:hanging="180"/>
      </w:pPr>
    </w:lvl>
    <w:lvl w:ilvl="6">
      <w:start w:val="1"/>
      <w:numFmt w:val="decimal"/>
      <w:isLgl w:val="false"/>
      <w:suff w:val="tab"/>
      <w:lvlText w:val="%7."/>
      <w:lvlJc w:val="left"/>
      <w:pPr>
        <w:ind w:left="5422" w:hanging="360"/>
      </w:pPr>
    </w:lvl>
    <w:lvl w:ilvl="7">
      <w:start w:val="1"/>
      <w:numFmt w:val="lowerLetter"/>
      <w:isLgl w:val="false"/>
      <w:suff w:val="tab"/>
      <w:lvlText w:val="%8."/>
      <w:lvlJc w:val="left"/>
      <w:pPr>
        <w:ind w:left="6142" w:hanging="360"/>
      </w:pPr>
    </w:lvl>
    <w:lvl w:ilvl="8">
      <w:start w:val="1"/>
      <w:numFmt w:val="lowerRoman"/>
      <w:isLgl w:val="false"/>
      <w:suff w:val="tab"/>
      <w:lvlText w:val="%9."/>
      <w:lvlJc w:val="right"/>
      <w:pPr>
        <w:ind w:left="6862" w:hanging="180"/>
      </w:pPr>
    </w:lvl>
  </w:abstractNum>
  <w:abstractNum w:abstractNumId="25">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6">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27">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32">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3">
    <w:multiLevelType w:val="hybridMultilevel"/>
    <w:lvl w:ilvl="0">
      <w:start w:val="1"/>
      <w:numFmt w:val="decimal"/>
      <w:isLgl w:val="false"/>
      <w:suff w:val="tab"/>
      <w:lvlText w:val="%1."/>
      <w:lvlJc w:val="left"/>
      <w:pPr>
        <w:ind w:left="2291" w:hanging="360"/>
      </w:pPr>
    </w:lvl>
    <w:lvl w:ilvl="1">
      <w:start w:val="1"/>
      <w:numFmt w:val="lowerLetter"/>
      <w:isLgl w:val="false"/>
      <w:suff w:val="tab"/>
      <w:lvlText w:val="%2."/>
      <w:lvlJc w:val="left"/>
      <w:pPr>
        <w:ind w:left="3011" w:hanging="360"/>
      </w:pPr>
    </w:lvl>
    <w:lvl w:ilvl="2">
      <w:start w:val="1"/>
      <w:numFmt w:val="lowerRoman"/>
      <w:isLgl w:val="false"/>
      <w:suff w:val="tab"/>
      <w:lvlText w:val="%3."/>
      <w:lvlJc w:val="right"/>
      <w:pPr>
        <w:ind w:left="3731" w:hanging="180"/>
      </w:pPr>
    </w:lvl>
    <w:lvl w:ilvl="3">
      <w:start w:val="1"/>
      <w:numFmt w:val="decimal"/>
      <w:isLgl w:val="false"/>
      <w:suff w:val="tab"/>
      <w:lvlText w:val="%4."/>
      <w:lvlJc w:val="left"/>
      <w:pPr>
        <w:ind w:left="4451" w:hanging="360"/>
      </w:pPr>
    </w:lvl>
    <w:lvl w:ilvl="4">
      <w:start w:val="1"/>
      <w:numFmt w:val="lowerLetter"/>
      <w:isLgl w:val="false"/>
      <w:suff w:val="tab"/>
      <w:lvlText w:val="%5."/>
      <w:lvlJc w:val="left"/>
      <w:pPr>
        <w:ind w:left="5171" w:hanging="360"/>
      </w:pPr>
    </w:lvl>
    <w:lvl w:ilvl="5">
      <w:start w:val="1"/>
      <w:numFmt w:val="lowerRoman"/>
      <w:isLgl w:val="false"/>
      <w:suff w:val="tab"/>
      <w:lvlText w:val="%6."/>
      <w:lvlJc w:val="right"/>
      <w:pPr>
        <w:ind w:left="5891" w:hanging="180"/>
      </w:pPr>
    </w:lvl>
    <w:lvl w:ilvl="6">
      <w:start w:val="1"/>
      <w:numFmt w:val="decimal"/>
      <w:isLgl w:val="false"/>
      <w:suff w:val="tab"/>
      <w:lvlText w:val="%7."/>
      <w:lvlJc w:val="left"/>
      <w:pPr>
        <w:ind w:left="6611" w:hanging="360"/>
      </w:pPr>
    </w:lvl>
    <w:lvl w:ilvl="7">
      <w:start w:val="1"/>
      <w:numFmt w:val="lowerLetter"/>
      <w:isLgl w:val="false"/>
      <w:suff w:val="tab"/>
      <w:lvlText w:val="%8."/>
      <w:lvlJc w:val="left"/>
      <w:pPr>
        <w:ind w:left="7331" w:hanging="360"/>
      </w:pPr>
    </w:lvl>
    <w:lvl w:ilvl="8">
      <w:start w:val="1"/>
      <w:numFmt w:val="lowerRoman"/>
      <w:isLgl w:val="false"/>
      <w:suff w:val="tab"/>
      <w:lvlText w:val="%9."/>
      <w:lvlJc w:val="right"/>
      <w:pPr>
        <w:ind w:left="8051" w:hanging="180"/>
      </w:pPr>
    </w:lvl>
  </w:abstractNum>
  <w:abstractNum w:abstractNumId="34">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5">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6">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7">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8">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9">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0">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41">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3">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4">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num w:numId="1">
    <w:abstractNumId w:val="21"/>
  </w:num>
  <w:num w:numId="2">
    <w:abstractNumId w:val="2"/>
  </w:num>
  <w:num w:numId="3">
    <w:abstractNumId w:val="25"/>
  </w:num>
  <w:num w:numId="4">
    <w:abstractNumId w:val="37"/>
  </w:num>
  <w:num w:numId="5">
    <w:abstractNumId w:val="35"/>
  </w:num>
  <w:num w:numId="6">
    <w:abstractNumId w:val="9"/>
  </w:num>
  <w:num w:numId="7">
    <w:abstractNumId w:val="7"/>
  </w:num>
  <w:num w:numId="8">
    <w:abstractNumId w:val="34"/>
  </w:num>
  <w:num w:numId="9">
    <w:abstractNumId w:val="39"/>
  </w:num>
  <w:num w:numId="10">
    <w:abstractNumId w:val="12"/>
  </w:num>
  <w:num w:numId="11">
    <w:abstractNumId w:val="15"/>
  </w:num>
  <w:num w:numId="12">
    <w:abstractNumId w:val="14"/>
  </w:num>
  <w:num w:numId="13">
    <w:abstractNumId w:val="36"/>
  </w:num>
  <w:num w:numId="14">
    <w:abstractNumId w:val="24"/>
  </w:num>
  <w:num w:numId="15">
    <w:abstractNumId w:val="40"/>
  </w:num>
  <w:num w:numId="16">
    <w:abstractNumId w:val="0"/>
  </w:num>
  <w:num w:numId="17">
    <w:abstractNumId w:val="13"/>
  </w:num>
  <w:num w:numId="18">
    <w:abstractNumId w:val="38"/>
  </w:num>
  <w:num w:numId="19">
    <w:abstractNumId w:val="3"/>
  </w:num>
  <w:num w:numId="20">
    <w:abstractNumId w:val="27"/>
  </w:num>
  <w:num w:numId="21">
    <w:abstractNumId w:val="30"/>
  </w:num>
  <w:num w:numId="22">
    <w:abstractNumId w:val="10"/>
  </w:num>
  <w:num w:numId="23">
    <w:abstractNumId w:val="8"/>
  </w:num>
  <w:num w:numId="24">
    <w:abstractNumId w:val="22"/>
  </w:num>
  <w:num w:numId="25">
    <w:abstractNumId w:val="16"/>
  </w:num>
  <w:num w:numId="26">
    <w:abstractNumId w:val="20"/>
  </w:num>
  <w:num w:numId="27">
    <w:abstractNumId w:val="33"/>
  </w:num>
  <w:num w:numId="28">
    <w:abstractNumId w:val="18"/>
  </w:num>
  <w:num w:numId="29">
    <w:abstractNumId w:val="4"/>
  </w:num>
  <w:num w:numId="30">
    <w:abstractNumId w:val="32"/>
  </w:num>
  <w:num w:numId="31">
    <w:abstractNumId w:val="1"/>
  </w:num>
  <w:num w:numId="32">
    <w:abstractNumId w:val="5"/>
  </w:num>
  <w:num w:numId="33">
    <w:abstractNumId w:val="11"/>
  </w:num>
  <w:num w:numId="34">
    <w:abstractNumId w:val="23"/>
  </w:num>
  <w:num w:numId="35">
    <w:abstractNumId w:val="31"/>
  </w:num>
  <w:num w:numId="36">
    <w:abstractNumId w:val="41"/>
  </w:num>
  <w:num w:numId="37">
    <w:abstractNumId w:val="26"/>
  </w:num>
  <w:num w:numId="38">
    <w:abstractNumId w:val="28"/>
  </w:num>
  <w:num w:numId="39">
    <w:abstractNumId w:val="19"/>
  </w:num>
  <w:num w:numId="40">
    <w:abstractNumId w:val="6"/>
  </w:num>
  <w:num w:numId="41">
    <w:abstractNumId w:val="17"/>
  </w:num>
  <w:num w:numId="42">
    <w:abstractNumId w:val="29"/>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78">
    <w:name w:val="Heading 1 Char"/>
    <w:basedOn w:val="1646"/>
    <w:link w:val="1644"/>
    <w:uiPriority w:val="9"/>
    <w:rPr>
      <w:rFonts w:ascii="Arial" w:hAnsi="Arial" w:eastAsia="Arial" w:cs="Arial"/>
      <w:sz w:val="40"/>
      <w:szCs w:val="40"/>
    </w:rPr>
  </w:style>
  <w:style w:type="paragraph" w:styleId="1479">
    <w:name w:val="Heading 2"/>
    <w:basedOn w:val="1643"/>
    <w:next w:val="1643"/>
    <w:link w:val="1480"/>
    <w:uiPriority w:val="9"/>
    <w:unhideWhenUsed/>
    <w:qFormat/>
    <w:pPr>
      <w:keepLines/>
      <w:keepNext/>
      <w:spacing w:before="360" w:after="200"/>
      <w:outlineLvl w:val="1"/>
    </w:pPr>
    <w:rPr>
      <w:rFonts w:ascii="Arial" w:hAnsi="Arial" w:eastAsia="Arial" w:cs="Arial"/>
      <w:sz w:val="34"/>
    </w:rPr>
  </w:style>
  <w:style w:type="character" w:styleId="1480">
    <w:name w:val="Heading 2 Char"/>
    <w:basedOn w:val="1646"/>
    <w:link w:val="1479"/>
    <w:uiPriority w:val="9"/>
    <w:rPr>
      <w:rFonts w:ascii="Arial" w:hAnsi="Arial" w:eastAsia="Arial" w:cs="Arial"/>
      <w:sz w:val="34"/>
    </w:rPr>
  </w:style>
  <w:style w:type="paragraph" w:styleId="1481">
    <w:name w:val="Heading 3"/>
    <w:basedOn w:val="1643"/>
    <w:next w:val="1643"/>
    <w:link w:val="1482"/>
    <w:uiPriority w:val="9"/>
    <w:unhideWhenUsed/>
    <w:qFormat/>
    <w:pPr>
      <w:keepLines/>
      <w:keepNext/>
      <w:spacing w:before="320" w:after="200"/>
      <w:outlineLvl w:val="2"/>
    </w:pPr>
    <w:rPr>
      <w:rFonts w:ascii="Arial" w:hAnsi="Arial" w:eastAsia="Arial" w:cs="Arial"/>
      <w:sz w:val="30"/>
      <w:szCs w:val="30"/>
    </w:rPr>
  </w:style>
  <w:style w:type="character" w:styleId="1482">
    <w:name w:val="Heading 3 Char"/>
    <w:basedOn w:val="1646"/>
    <w:link w:val="1481"/>
    <w:uiPriority w:val="9"/>
    <w:rPr>
      <w:rFonts w:ascii="Arial" w:hAnsi="Arial" w:eastAsia="Arial" w:cs="Arial"/>
      <w:sz w:val="30"/>
      <w:szCs w:val="30"/>
    </w:rPr>
  </w:style>
  <w:style w:type="character" w:styleId="1483">
    <w:name w:val="Heading 4 Char"/>
    <w:basedOn w:val="1646"/>
    <w:link w:val="1645"/>
    <w:uiPriority w:val="9"/>
    <w:rPr>
      <w:rFonts w:ascii="Arial" w:hAnsi="Arial" w:eastAsia="Arial" w:cs="Arial"/>
      <w:b/>
      <w:bCs/>
      <w:sz w:val="26"/>
      <w:szCs w:val="26"/>
    </w:rPr>
  </w:style>
  <w:style w:type="paragraph" w:styleId="1484">
    <w:name w:val="Heading 5"/>
    <w:basedOn w:val="1643"/>
    <w:next w:val="1643"/>
    <w:link w:val="1485"/>
    <w:uiPriority w:val="9"/>
    <w:unhideWhenUsed/>
    <w:qFormat/>
    <w:pPr>
      <w:keepLines/>
      <w:keepNext/>
      <w:spacing w:before="320" w:after="200"/>
      <w:outlineLvl w:val="4"/>
    </w:pPr>
    <w:rPr>
      <w:rFonts w:ascii="Arial" w:hAnsi="Arial" w:eastAsia="Arial" w:cs="Arial"/>
      <w:b/>
      <w:bCs/>
      <w:sz w:val="24"/>
      <w:szCs w:val="24"/>
    </w:rPr>
  </w:style>
  <w:style w:type="character" w:styleId="1485">
    <w:name w:val="Heading 5 Char"/>
    <w:basedOn w:val="1646"/>
    <w:link w:val="1484"/>
    <w:uiPriority w:val="9"/>
    <w:rPr>
      <w:rFonts w:ascii="Arial" w:hAnsi="Arial" w:eastAsia="Arial" w:cs="Arial"/>
      <w:b/>
      <w:bCs/>
      <w:sz w:val="24"/>
      <w:szCs w:val="24"/>
    </w:rPr>
  </w:style>
  <w:style w:type="paragraph" w:styleId="1486">
    <w:name w:val="Heading 6"/>
    <w:basedOn w:val="1643"/>
    <w:next w:val="1643"/>
    <w:link w:val="1487"/>
    <w:uiPriority w:val="9"/>
    <w:unhideWhenUsed/>
    <w:qFormat/>
    <w:pPr>
      <w:keepLines/>
      <w:keepNext/>
      <w:spacing w:before="320" w:after="200"/>
      <w:outlineLvl w:val="5"/>
    </w:pPr>
    <w:rPr>
      <w:rFonts w:ascii="Arial" w:hAnsi="Arial" w:eastAsia="Arial" w:cs="Arial"/>
      <w:b/>
      <w:bCs/>
      <w:sz w:val="22"/>
      <w:szCs w:val="22"/>
    </w:rPr>
  </w:style>
  <w:style w:type="character" w:styleId="1487">
    <w:name w:val="Heading 6 Char"/>
    <w:basedOn w:val="1646"/>
    <w:link w:val="1486"/>
    <w:uiPriority w:val="9"/>
    <w:rPr>
      <w:rFonts w:ascii="Arial" w:hAnsi="Arial" w:eastAsia="Arial" w:cs="Arial"/>
      <w:b/>
      <w:bCs/>
      <w:sz w:val="22"/>
      <w:szCs w:val="22"/>
    </w:rPr>
  </w:style>
  <w:style w:type="paragraph" w:styleId="1488">
    <w:name w:val="Heading 7"/>
    <w:basedOn w:val="1643"/>
    <w:next w:val="1643"/>
    <w:link w:val="1489"/>
    <w:uiPriority w:val="9"/>
    <w:unhideWhenUsed/>
    <w:qFormat/>
    <w:pPr>
      <w:keepLines/>
      <w:keepNext/>
      <w:spacing w:before="320" w:after="200"/>
      <w:outlineLvl w:val="6"/>
    </w:pPr>
    <w:rPr>
      <w:rFonts w:ascii="Arial" w:hAnsi="Arial" w:eastAsia="Arial" w:cs="Arial"/>
      <w:b/>
      <w:bCs/>
      <w:i/>
      <w:iCs/>
      <w:sz w:val="22"/>
      <w:szCs w:val="22"/>
    </w:rPr>
  </w:style>
  <w:style w:type="character" w:styleId="1489">
    <w:name w:val="Heading 7 Char"/>
    <w:basedOn w:val="1646"/>
    <w:link w:val="1488"/>
    <w:uiPriority w:val="9"/>
    <w:rPr>
      <w:rFonts w:ascii="Arial" w:hAnsi="Arial" w:eastAsia="Arial" w:cs="Arial"/>
      <w:b/>
      <w:bCs/>
      <w:i/>
      <w:iCs/>
      <w:sz w:val="22"/>
      <w:szCs w:val="22"/>
    </w:rPr>
  </w:style>
  <w:style w:type="paragraph" w:styleId="1490">
    <w:name w:val="Heading 8"/>
    <w:basedOn w:val="1643"/>
    <w:next w:val="1643"/>
    <w:link w:val="1491"/>
    <w:uiPriority w:val="9"/>
    <w:unhideWhenUsed/>
    <w:qFormat/>
    <w:pPr>
      <w:keepLines/>
      <w:keepNext/>
      <w:spacing w:before="320" w:after="200"/>
      <w:outlineLvl w:val="7"/>
    </w:pPr>
    <w:rPr>
      <w:rFonts w:ascii="Arial" w:hAnsi="Arial" w:eastAsia="Arial" w:cs="Arial"/>
      <w:i/>
      <w:iCs/>
      <w:sz w:val="22"/>
      <w:szCs w:val="22"/>
    </w:rPr>
  </w:style>
  <w:style w:type="character" w:styleId="1491">
    <w:name w:val="Heading 8 Char"/>
    <w:basedOn w:val="1646"/>
    <w:link w:val="1490"/>
    <w:uiPriority w:val="9"/>
    <w:rPr>
      <w:rFonts w:ascii="Arial" w:hAnsi="Arial" w:eastAsia="Arial" w:cs="Arial"/>
      <w:i/>
      <w:iCs/>
      <w:sz w:val="22"/>
      <w:szCs w:val="22"/>
    </w:rPr>
  </w:style>
  <w:style w:type="paragraph" w:styleId="1492">
    <w:name w:val="Heading 9"/>
    <w:basedOn w:val="1643"/>
    <w:next w:val="1643"/>
    <w:link w:val="1493"/>
    <w:uiPriority w:val="9"/>
    <w:unhideWhenUsed/>
    <w:qFormat/>
    <w:pPr>
      <w:keepLines/>
      <w:keepNext/>
      <w:spacing w:before="320" w:after="200"/>
      <w:outlineLvl w:val="8"/>
    </w:pPr>
    <w:rPr>
      <w:rFonts w:ascii="Arial" w:hAnsi="Arial" w:eastAsia="Arial" w:cs="Arial"/>
      <w:i/>
      <w:iCs/>
      <w:sz w:val="21"/>
      <w:szCs w:val="21"/>
    </w:rPr>
  </w:style>
  <w:style w:type="character" w:styleId="1493">
    <w:name w:val="Heading 9 Char"/>
    <w:basedOn w:val="1646"/>
    <w:link w:val="1492"/>
    <w:uiPriority w:val="9"/>
    <w:rPr>
      <w:rFonts w:ascii="Arial" w:hAnsi="Arial" w:eastAsia="Arial" w:cs="Arial"/>
      <w:i/>
      <w:iCs/>
      <w:sz w:val="21"/>
      <w:szCs w:val="21"/>
    </w:rPr>
  </w:style>
  <w:style w:type="paragraph" w:styleId="1494">
    <w:name w:val="Title"/>
    <w:basedOn w:val="1643"/>
    <w:next w:val="1643"/>
    <w:link w:val="1495"/>
    <w:uiPriority w:val="10"/>
    <w:qFormat/>
    <w:pPr>
      <w:contextualSpacing/>
      <w:spacing w:before="300" w:after="200"/>
    </w:pPr>
    <w:rPr>
      <w:sz w:val="48"/>
      <w:szCs w:val="48"/>
    </w:rPr>
  </w:style>
  <w:style w:type="character" w:styleId="1495">
    <w:name w:val="Title Char"/>
    <w:basedOn w:val="1646"/>
    <w:link w:val="1494"/>
    <w:uiPriority w:val="10"/>
    <w:rPr>
      <w:sz w:val="48"/>
      <w:szCs w:val="48"/>
    </w:rPr>
  </w:style>
  <w:style w:type="paragraph" w:styleId="1496">
    <w:name w:val="Subtitle"/>
    <w:basedOn w:val="1643"/>
    <w:next w:val="1643"/>
    <w:link w:val="1497"/>
    <w:uiPriority w:val="11"/>
    <w:qFormat/>
    <w:pPr>
      <w:spacing w:before="200" w:after="200"/>
    </w:pPr>
    <w:rPr>
      <w:sz w:val="24"/>
      <w:szCs w:val="24"/>
    </w:rPr>
  </w:style>
  <w:style w:type="character" w:styleId="1497">
    <w:name w:val="Subtitle Char"/>
    <w:basedOn w:val="1646"/>
    <w:link w:val="1496"/>
    <w:uiPriority w:val="11"/>
    <w:rPr>
      <w:sz w:val="24"/>
      <w:szCs w:val="24"/>
    </w:rPr>
  </w:style>
  <w:style w:type="paragraph" w:styleId="1498">
    <w:name w:val="Quote"/>
    <w:basedOn w:val="1643"/>
    <w:next w:val="1643"/>
    <w:link w:val="1499"/>
    <w:uiPriority w:val="29"/>
    <w:qFormat/>
    <w:pPr>
      <w:ind w:left="720" w:right="720"/>
    </w:pPr>
    <w:rPr>
      <w:i/>
    </w:rPr>
  </w:style>
  <w:style w:type="character" w:styleId="1499">
    <w:name w:val="Quote Char"/>
    <w:link w:val="1498"/>
    <w:uiPriority w:val="29"/>
    <w:rPr>
      <w:i/>
    </w:rPr>
  </w:style>
  <w:style w:type="paragraph" w:styleId="1500">
    <w:name w:val="Intense Quote"/>
    <w:basedOn w:val="1643"/>
    <w:next w:val="1643"/>
    <w:link w:val="150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501">
    <w:name w:val="Intense Quote Char"/>
    <w:link w:val="1500"/>
    <w:uiPriority w:val="30"/>
    <w:rPr>
      <w:i/>
    </w:rPr>
  </w:style>
  <w:style w:type="character" w:styleId="1502">
    <w:name w:val="Footer Char"/>
    <w:basedOn w:val="1646"/>
    <w:link w:val="1678"/>
    <w:uiPriority w:val="99"/>
  </w:style>
  <w:style w:type="paragraph" w:styleId="1503">
    <w:name w:val="Caption"/>
    <w:basedOn w:val="1643"/>
    <w:next w:val="1643"/>
    <w:uiPriority w:val="35"/>
    <w:semiHidden/>
    <w:unhideWhenUsed/>
    <w:qFormat/>
    <w:pPr>
      <w:spacing w:line="276" w:lineRule="auto"/>
    </w:pPr>
    <w:rPr>
      <w:b/>
      <w:bCs/>
      <w:color w:val="4f81bd" w:themeColor="accent1"/>
      <w:sz w:val="18"/>
      <w:szCs w:val="18"/>
    </w:rPr>
  </w:style>
  <w:style w:type="character" w:styleId="1504">
    <w:name w:val="Caption Char"/>
    <w:basedOn w:val="1503"/>
    <w:link w:val="1678"/>
    <w:uiPriority w:val="99"/>
  </w:style>
  <w:style w:type="table" w:styleId="1505">
    <w:name w:val="Table Grid Light"/>
    <w:basedOn w:val="1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506">
    <w:name w:val="Plain Table 1"/>
    <w:basedOn w:val="164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507">
    <w:name w:val="Plain Table 2"/>
    <w:basedOn w:val="164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508">
    <w:name w:val="Plain Table 3"/>
    <w:basedOn w:val="1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509">
    <w:name w:val="Plain Table 4"/>
    <w:basedOn w:val="1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510">
    <w:name w:val="Plain Table 5"/>
    <w:basedOn w:val="164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511">
    <w:name w:val="Grid Table 1 Light"/>
    <w:basedOn w:val="164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512">
    <w:name w:val="Grid Table 1 Light - Accent 1"/>
    <w:basedOn w:val="1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513">
    <w:name w:val="Grid Table 1 Light - Accent 2"/>
    <w:basedOn w:val="1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514">
    <w:name w:val="Grid Table 1 Light - Accent 3"/>
    <w:basedOn w:val="1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515">
    <w:name w:val="Grid Table 1 Light - Accent 4"/>
    <w:basedOn w:val="1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516">
    <w:name w:val="Grid Table 1 Light - Accent 5"/>
    <w:basedOn w:val="1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517">
    <w:name w:val="Grid Table 1 Light - Accent 6"/>
    <w:basedOn w:val="1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518">
    <w:name w:val="Grid Table 2"/>
    <w:basedOn w:val="1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519">
    <w:name w:val="Grid Table 2 - Accent 1"/>
    <w:basedOn w:val="1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520">
    <w:name w:val="Grid Table 2 - Accent 2"/>
    <w:basedOn w:val="1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521">
    <w:name w:val="Grid Table 2 - Accent 3"/>
    <w:basedOn w:val="1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522">
    <w:name w:val="Grid Table 2 - Accent 4"/>
    <w:basedOn w:val="1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523">
    <w:name w:val="Grid Table 2 - Accent 5"/>
    <w:basedOn w:val="1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524">
    <w:name w:val="Grid Table 2 - Accent 6"/>
    <w:basedOn w:val="1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525">
    <w:name w:val="Grid Table 3"/>
    <w:basedOn w:val="164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26">
    <w:name w:val="Grid Table 3 - Accent 1"/>
    <w:basedOn w:val="164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27">
    <w:name w:val="Grid Table 3 - Accent 2"/>
    <w:basedOn w:val="164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28">
    <w:name w:val="Grid Table 3 - Accent 3"/>
    <w:basedOn w:val="164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29">
    <w:name w:val="Grid Table 3 - Accent 4"/>
    <w:basedOn w:val="164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30">
    <w:name w:val="Grid Table 3 - Accent 5"/>
    <w:basedOn w:val="164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31">
    <w:name w:val="Grid Table 3 - Accent 6"/>
    <w:basedOn w:val="164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32">
    <w:name w:val="Grid Table 4"/>
    <w:basedOn w:val="164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33">
    <w:name w:val="Grid Table 4 - Accent 1"/>
    <w:basedOn w:val="164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534">
    <w:name w:val="Grid Table 4 - Accent 2"/>
    <w:basedOn w:val="164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535">
    <w:name w:val="Grid Table 4 - Accent 3"/>
    <w:basedOn w:val="164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536">
    <w:name w:val="Grid Table 4 - Accent 4"/>
    <w:basedOn w:val="164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537">
    <w:name w:val="Grid Table 4 - Accent 5"/>
    <w:basedOn w:val="164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538">
    <w:name w:val="Grid Table 4 - Accent 6"/>
    <w:basedOn w:val="164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539">
    <w:name w:val="Grid Table 5 Dark"/>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540">
    <w:name w:val="Grid Table 5 Dark- Accent 1"/>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541">
    <w:name w:val="Grid Table 5 Dark - Accent 2"/>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542">
    <w:name w:val="Grid Table 5 Dark - Accent 3"/>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543">
    <w:name w:val="Grid Table 5 Dark- Accent 4"/>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544">
    <w:name w:val="Grid Table 5 Dark - Accent 5"/>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545">
    <w:name w:val="Grid Table 5 Dark - Accent 6"/>
    <w:basedOn w:val="164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546">
    <w:name w:val="Grid Table 6 Colorful"/>
    <w:basedOn w:val="164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547">
    <w:name w:val="Grid Table 6 Colorful - Accent 1"/>
    <w:basedOn w:val="164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548">
    <w:name w:val="Grid Table 6 Colorful - Accent 2"/>
    <w:basedOn w:val="1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549">
    <w:name w:val="Grid Table 6 Colorful - Accent 3"/>
    <w:basedOn w:val="164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550">
    <w:name w:val="Grid Table 6 Colorful - Accent 4"/>
    <w:basedOn w:val="1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551">
    <w:name w:val="Grid Table 6 Colorful - Accent 5"/>
    <w:basedOn w:val="164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552">
    <w:name w:val="Grid Table 6 Colorful - Accent 6"/>
    <w:basedOn w:val="164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553">
    <w:name w:val="Grid Table 7 Colorful"/>
    <w:basedOn w:val="164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554">
    <w:name w:val="Grid Table 7 Colorful - Accent 1"/>
    <w:basedOn w:val="164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555">
    <w:name w:val="Grid Table 7 Colorful - Accent 2"/>
    <w:basedOn w:val="164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556">
    <w:name w:val="Grid Table 7 Colorful - Accent 3"/>
    <w:basedOn w:val="164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557">
    <w:name w:val="Grid Table 7 Colorful - Accent 4"/>
    <w:basedOn w:val="164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558">
    <w:name w:val="Grid Table 7 Colorful - Accent 5"/>
    <w:basedOn w:val="164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559">
    <w:name w:val="Grid Table 7 Colorful - Accent 6"/>
    <w:basedOn w:val="164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560">
    <w:name w:val="List Table 1 Light"/>
    <w:basedOn w:val="164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561">
    <w:name w:val="List Table 1 Light - Accent 1"/>
    <w:basedOn w:val="1647"/>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562">
    <w:name w:val="List Table 1 Light - Accent 2"/>
    <w:basedOn w:val="164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563">
    <w:name w:val="List Table 1 Light - Accent 3"/>
    <w:basedOn w:val="164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564">
    <w:name w:val="List Table 1 Light - Accent 4"/>
    <w:basedOn w:val="164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565">
    <w:name w:val="List Table 1 Light - Accent 5"/>
    <w:basedOn w:val="1647"/>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566">
    <w:name w:val="List Table 1 Light - Accent 6"/>
    <w:basedOn w:val="164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567">
    <w:name w:val="List Table 2"/>
    <w:basedOn w:val="164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568">
    <w:name w:val="List Table 2 - Accent 1"/>
    <w:basedOn w:val="164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569">
    <w:name w:val="List Table 2 - Accent 2"/>
    <w:basedOn w:val="164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570">
    <w:name w:val="List Table 2 - Accent 3"/>
    <w:basedOn w:val="164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571">
    <w:name w:val="List Table 2 - Accent 4"/>
    <w:basedOn w:val="164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572">
    <w:name w:val="List Table 2 - Accent 5"/>
    <w:basedOn w:val="164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573">
    <w:name w:val="List Table 2 - Accent 6"/>
    <w:basedOn w:val="164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574">
    <w:name w:val="List Table 3"/>
    <w:basedOn w:val="1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575">
    <w:name w:val="List Table 3 - Accent 1"/>
    <w:basedOn w:val="164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576">
    <w:name w:val="List Table 3 - Accent 2"/>
    <w:basedOn w:val="164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577">
    <w:name w:val="List Table 3 - Accent 3"/>
    <w:basedOn w:val="164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578">
    <w:name w:val="List Table 3 - Accent 4"/>
    <w:basedOn w:val="164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579">
    <w:name w:val="List Table 3 - Accent 5"/>
    <w:basedOn w:val="164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580">
    <w:name w:val="List Table 3 - Accent 6"/>
    <w:basedOn w:val="164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581">
    <w:name w:val="List Table 4"/>
    <w:basedOn w:val="164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582">
    <w:name w:val="List Table 4 - Accent 1"/>
    <w:basedOn w:val="164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583">
    <w:name w:val="List Table 4 - Accent 2"/>
    <w:basedOn w:val="164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584">
    <w:name w:val="List Table 4 - Accent 3"/>
    <w:basedOn w:val="164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585">
    <w:name w:val="List Table 4 - Accent 4"/>
    <w:basedOn w:val="164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586">
    <w:name w:val="List Table 4 - Accent 5"/>
    <w:basedOn w:val="164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587">
    <w:name w:val="List Table 4 - Accent 6"/>
    <w:basedOn w:val="164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588">
    <w:name w:val="List Table 5 Dark"/>
    <w:basedOn w:val="164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89">
    <w:name w:val="List Table 5 Dark - Accent 1"/>
    <w:basedOn w:val="164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0">
    <w:name w:val="List Table 5 Dark - Accent 2"/>
    <w:basedOn w:val="164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1">
    <w:name w:val="List Table 5 Dark - Accent 3"/>
    <w:basedOn w:val="164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2">
    <w:name w:val="List Table 5 Dark - Accent 4"/>
    <w:basedOn w:val="164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3">
    <w:name w:val="List Table 5 Dark - Accent 5"/>
    <w:basedOn w:val="164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4">
    <w:name w:val="List Table 5 Dark - Accent 6"/>
    <w:basedOn w:val="164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595">
    <w:name w:val="List Table 6 Colorful"/>
    <w:basedOn w:val="164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596">
    <w:name w:val="List Table 6 Colorful - Accent 1"/>
    <w:basedOn w:val="164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597">
    <w:name w:val="List Table 6 Colorful - Accent 2"/>
    <w:basedOn w:val="164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598">
    <w:name w:val="List Table 6 Colorful - Accent 3"/>
    <w:basedOn w:val="164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599">
    <w:name w:val="List Table 6 Colorful - Accent 4"/>
    <w:basedOn w:val="164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600">
    <w:name w:val="List Table 6 Colorful - Accent 5"/>
    <w:basedOn w:val="164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601">
    <w:name w:val="List Table 6 Colorful - Accent 6"/>
    <w:basedOn w:val="164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602">
    <w:name w:val="List Table 7 Colorful"/>
    <w:basedOn w:val="164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603">
    <w:name w:val="List Table 7 Colorful - Accent 1"/>
    <w:basedOn w:val="164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604">
    <w:name w:val="List Table 7 Colorful - Accent 2"/>
    <w:basedOn w:val="164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605">
    <w:name w:val="List Table 7 Colorful - Accent 3"/>
    <w:basedOn w:val="164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606">
    <w:name w:val="List Table 7 Colorful - Accent 4"/>
    <w:basedOn w:val="164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607">
    <w:name w:val="List Table 7 Colorful - Accent 5"/>
    <w:basedOn w:val="164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608">
    <w:name w:val="List Table 7 Colorful - Accent 6"/>
    <w:basedOn w:val="164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609">
    <w:name w:val="Lined - Accent"/>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0">
    <w:name w:val="Lined - Accent 1"/>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11">
    <w:name w:val="Lined - Accent 2"/>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2">
    <w:name w:val="Lined - Accent 3"/>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13">
    <w:name w:val="Lined - Accent 4"/>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14">
    <w:name w:val="Lined - Accent 5"/>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15">
    <w:name w:val="Lined - Accent 6"/>
    <w:basedOn w:val="164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16">
    <w:name w:val="Bordered &amp; Lined - Accent"/>
    <w:basedOn w:val="164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7">
    <w:name w:val="Bordered &amp; Lined - Accent 1"/>
    <w:basedOn w:val="164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18">
    <w:name w:val="Bordered &amp; Lined - Accent 2"/>
    <w:basedOn w:val="164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9">
    <w:name w:val="Bordered &amp; Lined - Accent 3"/>
    <w:basedOn w:val="164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0">
    <w:name w:val="Bordered &amp; Lined - Accent 4"/>
    <w:basedOn w:val="164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21">
    <w:name w:val="Bordered &amp; Lined - Accent 5"/>
    <w:basedOn w:val="164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22">
    <w:name w:val="Bordered &amp; Lined - Accent 6"/>
    <w:basedOn w:val="164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23">
    <w:name w:val="Bordered"/>
    <w:basedOn w:val="164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24">
    <w:name w:val="Bordered - Accent 1"/>
    <w:basedOn w:val="164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25">
    <w:name w:val="Bordered - Accent 2"/>
    <w:basedOn w:val="164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26">
    <w:name w:val="Bordered - Accent 3"/>
    <w:basedOn w:val="164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27">
    <w:name w:val="Bordered - Accent 4"/>
    <w:basedOn w:val="164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628">
    <w:name w:val="Bordered - Accent 5"/>
    <w:basedOn w:val="164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629">
    <w:name w:val="Bordered - Accent 6"/>
    <w:basedOn w:val="164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630">
    <w:name w:val="Footnote Text Char"/>
    <w:link w:val="1653"/>
    <w:uiPriority w:val="99"/>
    <w:rPr>
      <w:sz w:val="18"/>
    </w:rPr>
  </w:style>
  <w:style w:type="character" w:styleId="1631">
    <w:name w:val="Endnote Text Char"/>
    <w:link w:val="1670"/>
    <w:uiPriority w:val="99"/>
    <w:rPr>
      <w:sz w:val="20"/>
    </w:rPr>
  </w:style>
  <w:style w:type="paragraph" w:styleId="1632">
    <w:name w:val="toc 1"/>
    <w:basedOn w:val="1643"/>
    <w:next w:val="1643"/>
    <w:uiPriority w:val="39"/>
    <w:unhideWhenUsed/>
    <w:pPr>
      <w:ind w:left="0" w:right="0" w:firstLine="0"/>
      <w:spacing w:after="57"/>
    </w:pPr>
  </w:style>
  <w:style w:type="paragraph" w:styleId="1633">
    <w:name w:val="toc 2"/>
    <w:basedOn w:val="1643"/>
    <w:next w:val="1643"/>
    <w:uiPriority w:val="39"/>
    <w:unhideWhenUsed/>
    <w:pPr>
      <w:ind w:left="283" w:right="0" w:firstLine="0"/>
      <w:spacing w:after="57"/>
    </w:pPr>
  </w:style>
  <w:style w:type="paragraph" w:styleId="1634">
    <w:name w:val="toc 3"/>
    <w:basedOn w:val="1643"/>
    <w:next w:val="1643"/>
    <w:uiPriority w:val="39"/>
    <w:unhideWhenUsed/>
    <w:pPr>
      <w:ind w:left="567" w:right="0" w:firstLine="0"/>
      <w:spacing w:after="57"/>
    </w:pPr>
  </w:style>
  <w:style w:type="paragraph" w:styleId="1635">
    <w:name w:val="toc 4"/>
    <w:basedOn w:val="1643"/>
    <w:next w:val="1643"/>
    <w:uiPriority w:val="39"/>
    <w:unhideWhenUsed/>
    <w:pPr>
      <w:ind w:left="850" w:right="0" w:firstLine="0"/>
      <w:spacing w:after="57"/>
    </w:pPr>
  </w:style>
  <w:style w:type="paragraph" w:styleId="1636">
    <w:name w:val="toc 5"/>
    <w:basedOn w:val="1643"/>
    <w:next w:val="1643"/>
    <w:uiPriority w:val="39"/>
    <w:unhideWhenUsed/>
    <w:pPr>
      <w:ind w:left="1134" w:right="0" w:firstLine="0"/>
      <w:spacing w:after="57"/>
    </w:pPr>
  </w:style>
  <w:style w:type="paragraph" w:styleId="1637">
    <w:name w:val="toc 6"/>
    <w:basedOn w:val="1643"/>
    <w:next w:val="1643"/>
    <w:uiPriority w:val="39"/>
    <w:unhideWhenUsed/>
    <w:pPr>
      <w:ind w:left="1417" w:right="0" w:firstLine="0"/>
      <w:spacing w:after="57"/>
    </w:pPr>
  </w:style>
  <w:style w:type="paragraph" w:styleId="1638">
    <w:name w:val="toc 7"/>
    <w:basedOn w:val="1643"/>
    <w:next w:val="1643"/>
    <w:uiPriority w:val="39"/>
    <w:unhideWhenUsed/>
    <w:pPr>
      <w:ind w:left="1701" w:right="0" w:firstLine="0"/>
      <w:spacing w:after="57"/>
    </w:pPr>
  </w:style>
  <w:style w:type="paragraph" w:styleId="1639">
    <w:name w:val="toc 8"/>
    <w:basedOn w:val="1643"/>
    <w:next w:val="1643"/>
    <w:uiPriority w:val="39"/>
    <w:unhideWhenUsed/>
    <w:pPr>
      <w:ind w:left="1984" w:right="0" w:firstLine="0"/>
      <w:spacing w:after="57"/>
    </w:pPr>
  </w:style>
  <w:style w:type="paragraph" w:styleId="1640">
    <w:name w:val="toc 9"/>
    <w:basedOn w:val="1643"/>
    <w:next w:val="1643"/>
    <w:uiPriority w:val="39"/>
    <w:unhideWhenUsed/>
    <w:pPr>
      <w:ind w:left="2268" w:right="0" w:firstLine="0"/>
      <w:spacing w:after="57"/>
    </w:pPr>
  </w:style>
  <w:style w:type="paragraph" w:styleId="1641">
    <w:name w:val="TOC Heading"/>
    <w:uiPriority w:val="39"/>
    <w:unhideWhenUsed/>
  </w:style>
  <w:style w:type="paragraph" w:styleId="1642">
    <w:name w:val="table of figures"/>
    <w:basedOn w:val="1643"/>
    <w:next w:val="1643"/>
    <w:uiPriority w:val="99"/>
    <w:unhideWhenUsed/>
    <w:pPr>
      <w:spacing w:after="0" w:afterAutospacing="0"/>
    </w:pPr>
  </w:style>
  <w:style w:type="paragraph" w:styleId="1643" w:default="1">
    <w:name w:val="Normal"/>
    <w:qFormat/>
    <w:pPr>
      <w:ind w:firstLine="567"/>
      <w:jc w:val="both"/>
      <w:spacing w:after="0" w:line="288" w:lineRule="auto"/>
    </w:pPr>
    <w:rPr>
      <w:rFonts w:ascii="Times New Roman" w:hAnsi="Times New Roman" w:eastAsia="Times New Roman" w:cs="Times New Roman"/>
      <w:sz w:val="28"/>
      <w:szCs w:val="28"/>
      <w:lang w:eastAsia="ru-RU"/>
    </w:rPr>
  </w:style>
  <w:style w:type="paragraph" w:styleId="1644">
    <w:name w:val="Heading 1"/>
    <w:basedOn w:val="1643"/>
    <w:next w:val="1643"/>
    <w:link w:val="1650"/>
    <w:uiPriority w:val="99"/>
    <w:qFormat/>
    <w:pPr>
      <w:contextualSpacing/>
      <w:ind w:firstLine="0"/>
      <w:jc w:val="left"/>
      <w:spacing w:before="480" w:line="276" w:lineRule="auto"/>
      <w:outlineLvl w:val="0"/>
    </w:pPr>
    <w:rPr>
      <w:rFonts w:ascii="Cambria" w:hAnsi="Cambria"/>
      <w:b/>
      <w:bCs/>
    </w:rPr>
  </w:style>
  <w:style w:type="paragraph" w:styleId="1645">
    <w:name w:val="Heading 4"/>
    <w:basedOn w:val="1643"/>
    <w:next w:val="1643"/>
    <w:link w:val="1751"/>
    <w:uiPriority w:val="9"/>
    <w:semiHidden/>
    <w:unhideWhenUsed/>
    <w:qFormat/>
    <w:pPr>
      <w:keepLines/>
      <w:keepNext/>
      <w:spacing w:before="200"/>
      <w:outlineLvl w:val="3"/>
    </w:pPr>
    <w:rPr>
      <w:rFonts w:asciiTheme="majorHAnsi" w:hAnsiTheme="majorHAnsi" w:eastAsiaTheme="majorEastAsia" w:cstheme="majorBidi"/>
      <w:b/>
      <w:bCs/>
      <w:i/>
      <w:iCs/>
      <w:color w:val="5b9bd5" w:themeColor="accent1"/>
    </w:rPr>
  </w:style>
  <w:style w:type="character" w:styleId="1646" w:default="1">
    <w:name w:val="Default Paragraph Font"/>
    <w:uiPriority w:val="1"/>
    <w:semiHidden/>
    <w:unhideWhenUsed/>
  </w:style>
  <w:style w:type="table" w:styleId="1647" w:default="1">
    <w:name w:val="Normal Table"/>
    <w:uiPriority w:val="99"/>
    <w:semiHidden/>
    <w:unhideWhenUsed/>
    <w:tblPr>
      <w:tblInd w:w="0" w:type="dxa"/>
      <w:tblCellMar>
        <w:left w:w="108" w:type="dxa"/>
        <w:top w:w="0" w:type="dxa"/>
        <w:right w:w="108" w:type="dxa"/>
        <w:bottom w:w="0" w:type="dxa"/>
      </w:tblCellMar>
    </w:tblPr>
  </w:style>
  <w:style w:type="numbering" w:styleId="1648" w:default="1">
    <w:name w:val="No List"/>
    <w:uiPriority w:val="99"/>
    <w:semiHidden/>
    <w:unhideWhenUsed/>
  </w:style>
  <w:style w:type="paragraph" w:styleId="1649" w:customStyle="1">
    <w:name w:val="ConsPlusNormal"/>
    <w:pPr>
      <w:ind w:firstLine="720"/>
      <w:spacing w:after="0" w:line="240" w:lineRule="auto"/>
      <w:widowControl w:val="off"/>
    </w:pPr>
    <w:rPr>
      <w:rFonts w:ascii="Arial" w:hAnsi="Arial" w:eastAsia="Times New Roman" w:cs="Arial"/>
      <w:sz w:val="20"/>
      <w:szCs w:val="20"/>
      <w:lang w:eastAsia="ru-RU"/>
    </w:rPr>
  </w:style>
  <w:style w:type="character" w:styleId="1650" w:customStyle="1">
    <w:name w:val="Заголовок 1 Знак"/>
    <w:basedOn w:val="1646"/>
    <w:link w:val="1644"/>
    <w:uiPriority w:val="99"/>
    <w:rPr>
      <w:rFonts w:ascii="Cambria" w:hAnsi="Cambria" w:eastAsia="Times New Roman" w:cs="Times New Roman"/>
      <w:b/>
      <w:bCs/>
      <w:sz w:val="28"/>
      <w:szCs w:val="28"/>
      <w:lang w:eastAsia="ru-RU"/>
    </w:rPr>
  </w:style>
  <w:style w:type="table" w:styleId="1651">
    <w:name w:val="Table Grid"/>
    <w:basedOn w:val="1647"/>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52">
    <w:name w:val="List Paragraph"/>
    <w:basedOn w:val="1643"/>
    <w:link w:val="1657"/>
    <w:uiPriority w:val="34"/>
    <w:qFormat/>
    <w:pPr>
      <w:contextualSpacing/>
      <w:ind w:left="720"/>
    </w:pPr>
  </w:style>
  <w:style w:type="paragraph" w:styleId="1653">
    <w:name w:val="footnote text"/>
    <w:basedOn w:val="1643"/>
    <w:link w:val="1654"/>
    <w:unhideWhenUsed/>
    <w:qFormat/>
    <w:pPr>
      <w:ind w:firstLine="0"/>
      <w:jc w:val="left"/>
      <w:spacing w:line="240" w:lineRule="auto"/>
    </w:pPr>
    <w:rPr>
      <w:rFonts w:ascii="Calibri" w:hAnsi="Calibri"/>
      <w:sz w:val="20"/>
      <w:szCs w:val="20"/>
    </w:rPr>
  </w:style>
  <w:style w:type="character" w:styleId="1654" w:customStyle="1">
    <w:name w:val="Текст сноски Знак"/>
    <w:basedOn w:val="1646"/>
    <w:link w:val="1653"/>
    <w:rPr>
      <w:rFonts w:ascii="Calibri" w:hAnsi="Calibri" w:eastAsia="Times New Roman" w:cs="Times New Roman"/>
      <w:sz w:val="20"/>
      <w:szCs w:val="20"/>
      <w:lang w:eastAsia="ru-RU"/>
    </w:rPr>
  </w:style>
  <w:style w:type="character" w:styleId="1655">
    <w:name w:val="footnote reference"/>
    <w:uiPriority w:val="99"/>
    <w:qFormat/>
    <w:rPr>
      <w:vertAlign w:val="superscript"/>
    </w:rPr>
  </w:style>
  <w:style w:type="character" w:styleId="1656">
    <w:name w:val="Emphasis"/>
    <w:uiPriority w:val="20"/>
    <w:qFormat/>
    <w:rPr>
      <w:rFonts w:cs="Times New Roman"/>
      <w:i/>
    </w:rPr>
  </w:style>
  <w:style w:type="character" w:styleId="1657" w:customStyle="1">
    <w:name w:val="Абзац списка Знак"/>
    <w:link w:val="1652"/>
    <w:uiPriority w:val="34"/>
    <w:rPr>
      <w:rFonts w:ascii="Times New Roman" w:hAnsi="Times New Roman" w:eastAsia="Times New Roman" w:cs="Times New Roman"/>
      <w:sz w:val="28"/>
      <w:szCs w:val="28"/>
      <w:lang w:eastAsia="ru-RU"/>
    </w:rPr>
  </w:style>
  <w:style w:type="character" w:styleId="1658">
    <w:name w:val="HTML Typewriter"/>
    <w:basedOn w:val="1646"/>
    <w:uiPriority w:val="99"/>
    <w:rPr>
      <w:rFonts w:ascii="Courier New" w:hAnsi="Courier New" w:cs="Times New Roman"/>
      <w:sz w:val="20"/>
    </w:rPr>
  </w:style>
  <w:style w:type="paragraph" w:styleId="1659">
    <w:name w:val="Body Text"/>
    <w:basedOn w:val="1643"/>
    <w:link w:val="1660"/>
    <w:uiPriority w:val="99"/>
    <w:pPr>
      <w:ind w:firstLine="0"/>
      <w:jc w:val="left"/>
      <w:spacing w:after="120" w:line="240" w:lineRule="auto"/>
    </w:pPr>
    <w:rPr>
      <w:sz w:val="24"/>
      <w:szCs w:val="24"/>
    </w:rPr>
  </w:style>
  <w:style w:type="character" w:styleId="1660" w:customStyle="1">
    <w:name w:val="Основной текст Знак"/>
    <w:basedOn w:val="1646"/>
    <w:link w:val="1659"/>
    <w:uiPriority w:val="99"/>
    <w:rPr>
      <w:rFonts w:ascii="Times New Roman" w:hAnsi="Times New Roman" w:eastAsia="Times New Roman" w:cs="Times New Roman"/>
      <w:sz w:val="24"/>
      <w:szCs w:val="24"/>
      <w:lang w:eastAsia="ru-RU"/>
    </w:rPr>
  </w:style>
  <w:style w:type="paragraph" w:styleId="1661">
    <w:name w:val="Body Text First Indent"/>
    <w:basedOn w:val="1659"/>
    <w:link w:val="1662"/>
    <w:uiPriority w:val="99"/>
    <w:pPr>
      <w:ind w:firstLine="210"/>
    </w:pPr>
  </w:style>
  <w:style w:type="character" w:styleId="1662" w:customStyle="1">
    <w:name w:val="Красная строка Знак"/>
    <w:basedOn w:val="1660"/>
    <w:link w:val="1661"/>
    <w:uiPriority w:val="99"/>
    <w:rPr>
      <w:rFonts w:ascii="Times New Roman" w:hAnsi="Times New Roman" w:eastAsia="Times New Roman" w:cs="Times New Roman"/>
      <w:sz w:val="24"/>
      <w:szCs w:val="24"/>
    </w:rPr>
  </w:style>
  <w:style w:type="character" w:styleId="1663" w:customStyle="1">
    <w:name w:val="Font Style13"/>
    <w:rPr>
      <w:rFonts w:ascii="Times New Roman" w:hAnsi="Times New Roman"/>
      <w:sz w:val="26"/>
    </w:rPr>
  </w:style>
  <w:style w:type="paragraph" w:styleId="1664" w:customStyle="1">
    <w:name w:val="Основной текст2"/>
    <w:basedOn w:val="1643"/>
    <w:link w:val="1668"/>
    <w:pPr>
      <w:ind w:firstLine="0"/>
      <w:jc w:val="right"/>
      <w:spacing w:after="300" w:line="374" w:lineRule="exact"/>
      <w:shd w:val="clear" w:color="auto" w:fill="ffffff"/>
    </w:pPr>
    <w:rPr>
      <w:sz w:val="26"/>
      <w:szCs w:val="26"/>
    </w:rPr>
  </w:style>
  <w:style w:type="paragraph" w:styleId="1665">
    <w:name w:val="Balloon Text"/>
    <w:basedOn w:val="1643"/>
    <w:link w:val="1666"/>
    <w:uiPriority w:val="99"/>
    <w:pPr>
      <w:ind w:firstLine="0"/>
      <w:jc w:val="left"/>
      <w:spacing w:line="240" w:lineRule="auto"/>
    </w:pPr>
    <w:rPr>
      <w:rFonts w:ascii="Segoe UI" w:hAnsi="Segoe UI"/>
      <w:sz w:val="18"/>
      <w:szCs w:val="18"/>
    </w:rPr>
  </w:style>
  <w:style w:type="character" w:styleId="1666" w:customStyle="1">
    <w:name w:val="Текст выноски Знак"/>
    <w:basedOn w:val="1646"/>
    <w:link w:val="1665"/>
    <w:uiPriority w:val="99"/>
    <w:rPr>
      <w:rFonts w:ascii="Segoe UI" w:hAnsi="Segoe UI" w:eastAsia="Times New Roman" w:cs="Times New Roman"/>
      <w:sz w:val="18"/>
      <w:szCs w:val="18"/>
    </w:rPr>
  </w:style>
  <w:style w:type="paragraph" w:styleId="1667" w:customStyle="1">
    <w:name w:val="Прижатый влево"/>
    <w:basedOn w:val="1643"/>
    <w:next w:val="1643"/>
    <w:pPr>
      <w:ind w:firstLine="0"/>
      <w:jc w:val="left"/>
      <w:spacing w:line="240" w:lineRule="auto"/>
    </w:pPr>
    <w:rPr>
      <w:rFonts w:ascii="Arial" w:hAnsi="Arial"/>
      <w:sz w:val="24"/>
      <w:szCs w:val="24"/>
    </w:rPr>
  </w:style>
  <w:style w:type="character" w:styleId="1668" w:customStyle="1">
    <w:name w:val="Основной текст_"/>
    <w:link w:val="1664"/>
    <w:rPr>
      <w:rFonts w:ascii="Times New Roman" w:hAnsi="Times New Roman" w:eastAsia="Times New Roman" w:cs="Times New Roman"/>
      <w:sz w:val="26"/>
      <w:szCs w:val="26"/>
      <w:shd w:val="clear" w:color="auto" w:fill="ffffff"/>
    </w:rPr>
  </w:style>
  <w:style w:type="character" w:styleId="1669" w:customStyle="1">
    <w:name w:val="Font Style17"/>
    <w:uiPriority w:val="99"/>
    <w:rPr>
      <w:rFonts w:ascii="Times New Roman" w:hAnsi="Times New Roman" w:cs="Times New Roman"/>
      <w:color w:val="000000"/>
      <w:sz w:val="24"/>
      <w:szCs w:val="24"/>
    </w:rPr>
  </w:style>
  <w:style w:type="paragraph" w:styleId="1670">
    <w:name w:val="endnote text"/>
    <w:basedOn w:val="1643"/>
    <w:link w:val="1671"/>
    <w:uiPriority w:val="99"/>
    <w:pPr>
      <w:ind w:firstLine="0"/>
      <w:jc w:val="left"/>
      <w:spacing w:line="240" w:lineRule="auto"/>
    </w:pPr>
    <w:rPr>
      <w:sz w:val="20"/>
      <w:szCs w:val="20"/>
    </w:rPr>
  </w:style>
  <w:style w:type="character" w:styleId="1671" w:customStyle="1">
    <w:name w:val="Текст концевой сноски Знак"/>
    <w:basedOn w:val="1646"/>
    <w:link w:val="1670"/>
    <w:uiPriority w:val="99"/>
    <w:rPr>
      <w:rFonts w:ascii="Times New Roman" w:hAnsi="Times New Roman" w:eastAsia="Times New Roman" w:cs="Times New Roman"/>
      <w:sz w:val="20"/>
      <w:szCs w:val="20"/>
      <w:lang w:eastAsia="ru-RU"/>
    </w:rPr>
  </w:style>
  <w:style w:type="character" w:styleId="1672">
    <w:name w:val="endnote reference"/>
    <w:uiPriority w:val="99"/>
    <w:rPr>
      <w:vertAlign w:val="superscript"/>
    </w:rPr>
  </w:style>
  <w:style w:type="character" w:styleId="1673">
    <w:name w:val="Intense Emphasis"/>
    <w:uiPriority w:val="21"/>
    <w:qFormat/>
    <w:rPr>
      <w:i/>
      <w:iCs/>
      <w:color w:val="5b9bd5"/>
    </w:rPr>
  </w:style>
  <w:style w:type="character" w:styleId="1674" w:customStyle="1">
    <w:name w:val="Основной текст (6)_"/>
    <w:link w:val="1675"/>
    <w:rPr>
      <w:spacing w:val="-4"/>
      <w:sz w:val="23"/>
      <w:szCs w:val="23"/>
      <w:shd w:val="clear" w:color="auto" w:fill="ffffff"/>
    </w:rPr>
  </w:style>
  <w:style w:type="paragraph" w:styleId="1675" w:customStyle="1">
    <w:name w:val="Основной текст (6)"/>
    <w:basedOn w:val="1643"/>
    <w:link w:val="1674"/>
    <w:pPr>
      <w:ind w:firstLine="0"/>
      <w:jc w:val="center"/>
      <w:spacing w:line="0" w:lineRule="atLeast"/>
      <w:shd w:val="clear" w:color="auto" w:fill="ffffff"/>
      <w:widowControl w:val="off"/>
    </w:pPr>
    <w:rPr>
      <w:rFonts w:asciiTheme="minorHAnsi" w:hAnsiTheme="minorHAnsi" w:eastAsiaTheme="minorHAnsi" w:cstheme="minorBidi"/>
      <w:spacing w:val="-4"/>
      <w:sz w:val="23"/>
      <w:szCs w:val="23"/>
      <w:lang w:eastAsia="en-US"/>
    </w:rPr>
  </w:style>
  <w:style w:type="paragraph" w:styleId="1676">
    <w:name w:val="Header"/>
    <w:basedOn w:val="1643"/>
    <w:link w:val="1677"/>
    <w:unhideWhenUsed/>
    <w:pPr>
      <w:spacing w:line="240" w:lineRule="auto"/>
      <w:tabs>
        <w:tab w:val="center" w:pos="4677" w:leader="none"/>
        <w:tab w:val="right" w:pos="9355" w:leader="none"/>
      </w:tabs>
    </w:pPr>
  </w:style>
  <w:style w:type="character" w:styleId="1677" w:customStyle="1">
    <w:name w:val="Верхний колонтитул Знак"/>
    <w:basedOn w:val="1646"/>
    <w:link w:val="1676"/>
    <w:uiPriority w:val="99"/>
    <w:rPr>
      <w:rFonts w:ascii="Times New Roman" w:hAnsi="Times New Roman" w:eastAsia="Times New Roman" w:cs="Times New Roman"/>
      <w:sz w:val="28"/>
      <w:szCs w:val="28"/>
      <w:lang w:eastAsia="ru-RU"/>
    </w:rPr>
  </w:style>
  <w:style w:type="paragraph" w:styleId="1678">
    <w:name w:val="Footer"/>
    <w:basedOn w:val="1643"/>
    <w:link w:val="1679"/>
    <w:uiPriority w:val="99"/>
    <w:unhideWhenUsed/>
    <w:pPr>
      <w:spacing w:line="240" w:lineRule="auto"/>
      <w:tabs>
        <w:tab w:val="center" w:pos="4677" w:leader="none"/>
        <w:tab w:val="right" w:pos="9355" w:leader="none"/>
      </w:tabs>
    </w:pPr>
  </w:style>
  <w:style w:type="character" w:styleId="1679" w:customStyle="1">
    <w:name w:val="Нижний колонтитул Знак"/>
    <w:basedOn w:val="1646"/>
    <w:link w:val="1678"/>
    <w:uiPriority w:val="99"/>
    <w:rPr>
      <w:rFonts w:ascii="Times New Roman" w:hAnsi="Times New Roman" w:eastAsia="Times New Roman" w:cs="Times New Roman"/>
      <w:sz w:val="28"/>
      <w:szCs w:val="28"/>
      <w:lang w:eastAsia="ru-RU"/>
    </w:rPr>
  </w:style>
  <w:style w:type="character" w:styleId="1680" w:customStyle="1">
    <w:name w:val="Сноска_"/>
    <w:basedOn w:val="1646"/>
    <w:link w:val="1681"/>
    <w:rPr>
      <w:rFonts w:ascii="Times New Roman" w:hAnsi="Times New Roman" w:eastAsia="Times New Roman"/>
      <w:b/>
      <w:bCs/>
      <w:sz w:val="18"/>
      <w:szCs w:val="18"/>
      <w:shd w:val="clear" w:color="auto" w:fill="ffffff"/>
    </w:rPr>
  </w:style>
  <w:style w:type="paragraph" w:styleId="1681" w:customStyle="1">
    <w:name w:val="Сноска"/>
    <w:basedOn w:val="1643"/>
    <w:link w:val="1680"/>
    <w:pPr>
      <w:ind w:firstLine="0"/>
      <w:spacing w:line="230" w:lineRule="exact"/>
      <w:shd w:val="clear" w:color="auto" w:fill="ffffff"/>
      <w:widowControl w:val="off"/>
    </w:pPr>
    <w:rPr>
      <w:rFonts w:cstheme="minorBidi"/>
      <w:b/>
      <w:bCs/>
      <w:sz w:val="18"/>
      <w:szCs w:val="18"/>
      <w:lang w:eastAsia="en-US"/>
    </w:rPr>
  </w:style>
  <w:style w:type="paragraph" w:styleId="1682"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683">
    <w:name w:val="No Spacing"/>
    <w:link w:val="1686"/>
    <w:uiPriority w:val="1"/>
    <w:qFormat/>
    <w:pPr>
      <w:spacing w:after="0" w:line="240" w:lineRule="auto"/>
    </w:pPr>
    <w:rPr>
      <w:rFonts w:ascii="Calibri" w:hAnsi="Calibri" w:eastAsia="Times New Roman" w:cs="Calibri"/>
      <w:lang w:eastAsia="ru-RU"/>
    </w:rPr>
  </w:style>
  <w:style w:type="character" w:styleId="1684" w:customStyle="1">
    <w:name w:val="Font Style16"/>
    <w:uiPriority w:val="99"/>
    <w:rPr>
      <w:rFonts w:ascii="Times New Roman" w:hAnsi="Times New Roman" w:cs="Times New Roman"/>
      <w:sz w:val="26"/>
      <w:szCs w:val="26"/>
    </w:rPr>
  </w:style>
  <w:style w:type="paragraph" w:styleId="1685" w:customStyle="1">
    <w:name w:val="ConsPlusTitle"/>
    <w:uiPriority w:val="99"/>
    <w:qFormat/>
    <w:pPr>
      <w:spacing w:after="0" w:line="240" w:lineRule="auto"/>
    </w:pPr>
    <w:rPr>
      <w:rFonts w:ascii="Times New Roman" w:hAnsi="Times New Roman" w:eastAsia="Times New Roman" w:cs="Times New Roman"/>
      <w:b/>
      <w:bCs/>
      <w:sz w:val="28"/>
      <w:szCs w:val="28"/>
    </w:rPr>
  </w:style>
  <w:style w:type="character" w:styleId="1686" w:customStyle="1">
    <w:name w:val="Без интервала Знак"/>
    <w:basedOn w:val="1646"/>
    <w:link w:val="1683"/>
    <w:uiPriority w:val="1"/>
    <w:rPr>
      <w:rFonts w:ascii="Calibri" w:hAnsi="Calibri" w:eastAsia="Times New Roman" w:cs="Calibri"/>
      <w:lang w:eastAsia="ru-RU"/>
    </w:rPr>
  </w:style>
  <w:style w:type="paragraph" w:styleId="1687">
    <w:name w:val="Normal (Web)"/>
    <w:basedOn w:val="1643"/>
    <w:link w:val="1688"/>
    <w:uiPriority w:val="99"/>
    <w:pPr>
      <w:ind w:firstLine="0"/>
      <w:jc w:val="left"/>
      <w:spacing w:beforeAutospacing="1" w:after="200" w:afterAutospacing="1" w:line="240" w:lineRule="auto"/>
    </w:pPr>
    <w:rPr>
      <w:color w:val="000000"/>
      <w:sz w:val="24"/>
      <w:szCs w:val="20"/>
    </w:rPr>
  </w:style>
  <w:style w:type="character" w:styleId="1688" w:customStyle="1">
    <w:name w:val="Обычный (веб) Знак"/>
    <w:link w:val="1687"/>
    <w:uiPriority w:val="99"/>
    <w:rPr>
      <w:rFonts w:ascii="Times New Roman" w:hAnsi="Times New Roman" w:eastAsia="Times New Roman" w:cs="Times New Roman"/>
      <w:color w:val="000000"/>
      <w:sz w:val="24"/>
      <w:szCs w:val="20"/>
      <w:lang w:eastAsia="ru-RU"/>
    </w:rPr>
  </w:style>
  <w:style w:type="character" w:styleId="1689">
    <w:name w:val="Hyperlink"/>
    <w:uiPriority w:val="99"/>
    <w:rPr>
      <w:rFonts w:cs="Times New Roman"/>
      <w:color w:val="0000ff"/>
      <w:u w:val="single"/>
    </w:rPr>
  </w:style>
  <w:style w:type="numbering" w:styleId="1690" w:customStyle="1">
    <w:name w:val="Нет списка1"/>
    <w:next w:val="1648"/>
    <w:uiPriority w:val="99"/>
    <w:semiHidden/>
    <w:unhideWhenUsed/>
  </w:style>
  <w:style w:type="table" w:styleId="1691" w:customStyle="1">
    <w:name w:val="Сетка таблицы1"/>
    <w:basedOn w:val="1647"/>
    <w:next w:val="1651"/>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92" w:customStyle="1">
    <w:name w:val="Нет списка2"/>
    <w:next w:val="1648"/>
    <w:uiPriority w:val="99"/>
    <w:semiHidden/>
    <w:unhideWhenUsed/>
  </w:style>
  <w:style w:type="table" w:styleId="1693" w:customStyle="1">
    <w:name w:val="Сетка таблицы2"/>
    <w:basedOn w:val="1647"/>
    <w:next w:val="1651"/>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94" w:customStyle="1">
    <w:name w:val="Style3"/>
    <w:basedOn w:val="1643"/>
    <w:uiPriority w:val="99"/>
    <w:pPr>
      <w:ind w:firstLine="0"/>
      <w:jc w:val="left"/>
      <w:spacing w:line="240" w:lineRule="auto"/>
      <w:widowControl w:val="off"/>
    </w:pPr>
    <w:rPr>
      <w:sz w:val="24"/>
      <w:szCs w:val="24"/>
    </w:rPr>
  </w:style>
  <w:style w:type="character" w:styleId="1695" w:customStyle="1">
    <w:name w:val="Заголовок 2 Знак"/>
    <w:link w:val="1697"/>
    <w:uiPriority w:val="9"/>
    <w:qFormat/>
    <w:rPr>
      <w:b/>
      <w:sz w:val="24"/>
    </w:rPr>
  </w:style>
  <w:style w:type="paragraph" w:styleId="1696" w:customStyle="1">
    <w:name w:val="Заголовок 11"/>
    <w:basedOn w:val="1643"/>
    <w:next w:val="1643"/>
    <w:uiPriority w:val="99"/>
    <w:qFormat/>
    <w:pPr>
      <w:numPr>
        <w:ilvl w:val="0"/>
        <w:numId w:val="16"/>
      </w:numPr>
      <w:jc w:val="left"/>
      <w:keepNext/>
      <w:spacing w:line="240" w:lineRule="auto"/>
      <w:outlineLvl w:val="0"/>
    </w:pPr>
    <w:rPr>
      <w:b/>
      <w:color w:val="000000"/>
      <w:sz w:val="24"/>
      <w:szCs w:val="20"/>
    </w:rPr>
  </w:style>
  <w:style w:type="paragraph" w:styleId="1697" w:customStyle="1">
    <w:name w:val="Заголовок 21"/>
    <w:basedOn w:val="1643"/>
    <w:next w:val="1643"/>
    <w:link w:val="1695"/>
    <w:uiPriority w:val="9"/>
    <w:qFormat/>
    <w:pPr>
      <w:numPr>
        <w:ilvl w:val="1"/>
        <w:numId w:val="16"/>
      </w:numPr>
      <w:ind w:right="-375" w:firstLine="0"/>
      <w:jc w:val="center"/>
      <w:keepNext/>
      <w:spacing w:line="240" w:lineRule="auto"/>
      <w:outlineLvl w:val="1"/>
    </w:pPr>
    <w:rPr>
      <w:rFonts w:asciiTheme="minorHAnsi" w:hAnsiTheme="minorHAnsi" w:eastAsiaTheme="minorHAnsi" w:cstheme="minorBidi"/>
      <w:b/>
      <w:sz w:val="24"/>
      <w:szCs w:val="22"/>
      <w:lang w:eastAsia="en-US"/>
    </w:rPr>
  </w:style>
  <w:style w:type="paragraph" w:styleId="1698" w:customStyle="1">
    <w:name w:val="Заголовок 31"/>
    <w:basedOn w:val="1643"/>
    <w:next w:val="1643"/>
    <w:uiPriority w:val="99"/>
    <w:qFormat/>
    <w:pPr>
      <w:numPr>
        <w:ilvl w:val="2"/>
        <w:numId w:val="16"/>
      </w:numPr>
      <w:ind w:left="-567" w:right="-375" w:firstLine="0"/>
      <w:jc w:val="center"/>
      <w:keepNext/>
      <w:spacing w:line="240" w:lineRule="auto"/>
      <w:outlineLvl w:val="2"/>
    </w:pPr>
    <w:rPr>
      <w:b/>
      <w:sz w:val="24"/>
      <w:szCs w:val="20"/>
    </w:rPr>
  </w:style>
  <w:style w:type="character" w:styleId="1699" w:customStyle="1">
    <w:name w:val="markedcontent"/>
    <w:basedOn w:val="1646"/>
  </w:style>
  <w:style w:type="paragraph" w:styleId="1700" w:customStyle="1">
    <w:name w:val="Знак1"/>
    <w:basedOn w:val="1643"/>
    <w:uiPriority w:val="99"/>
    <w:pPr>
      <w:ind w:firstLine="0"/>
      <w:jc w:val="left"/>
      <w:spacing w:after="160" w:line="240" w:lineRule="exact"/>
    </w:pPr>
    <w:rPr>
      <w:rFonts w:ascii="Verdana" w:hAnsi="Verdana"/>
      <w:sz w:val="20"/>
      <w:szCs w:val="20"/>
      <w:lang w:val="en-US" w:eastAsia="en-US"/>
    </w:rPr>
  </w:style>
  <w:style w:type="paragraph" w:styleId="1701">
    <w:name w:val="Body Text Indent"/>
    <w:basedOn w:val="1643"/>
    <w:link w:val="1702"/>
    <w:uiPriority w:val="99"/>
    <w:pPr>
      <w:ind w:left="283" w:firstLine="0"/>
      <w:jc w:val="left"/>
      <w:spacing w:after="120" w:line="240" w:lineRule="auto"/>
    </w:pPr>
    <w:rPr>
      <w:rFonts w:ascii="Calibri" w:hAnsi="Calibri"/>
      <w:sz w:val="22"/>
      <w:szCs w:val="22"/>
      <w:lang w:eastAsia="en-US"/>
    </w:rPr>
  </w:style>
  <w:style w:type="character" w:styleId="1702" w:customStyle="1">
    <w:name w:val="Основной текст с отступом Знак"/>
    <w:basedOn w:val="1646"/>
    <w:link w:val="1701"/>
    <w:uiPriority w:val="99"/>
    <w:rPr>
      <w:rFonts w:ascii="Calibri" w:hAnsi="Calibri" w:eastAsia="Times New Roman" w:cs="Times New Roman"/>
    </w:rPr>
  </w:style>
  <w:style w:type="paragraph" w:styleId="1703" w:customStyle="1">
    <w:name w:val="Знак Знак Знак1 Знак Знак Знак Знак"/>
    <w:basedOn w:val="1643"/>
    <w:uiPriority w:val="99"/>
    <w:pPr>
      <w:ind w:firstLine="0"/>
      <w:jc w:val="left"/>
      <w:spacing w:after="160" w:line="240" w:lineRule="exact"/>
    </w:pPr>
    <w:rPr>
      <w:rFonts w:ascii="Verdana" w:hAnsi="Verdana" w:cs="Verdana"/>
      <w:sz w:val="24"/>
      <w:szCs w:val="24"/>
      <w:lang w:val="en-US" w:eastAsia="en-US"/>
    </w:rPr>
  </w:style>
  <w:style w:type="paragraph" w:styleId="1704" w:customStyle="1">
    <w:name w:val="Знак"/>
    <w:basedOn w:val="1643"/>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05" w:customStyle="1">
    <w:name w:val="Знак Знак Знак Знак"/>
    <w:basedOn w:val="1643"/>
    <w:uiPriority w:val="99"/>
    <w:pPr>
      <w:ind w:left="1287" w:hanging="360"/>
      <w:spacing w:after="160" w:line="240" w:lineRule="exact"/>
      <w:tabs>
        <w:tab w:val="num" w:pos="1287" w:leader="none"/>
      </w:tabs>
    </w:pPr>
    <w:rPr>
      <w:rFonts w:ascii="Verdana" w:hAnsi="Verdana" w:cs="Verdana"/>
      <w:sz w:val="20"/>
      <w:szCs w:val="20"/>
      <w:lang w:val="en-US" w:eastAsia="en-US"/>
    </w:rPr>
  </w:style>
  <w:style w:type="paragraph" w:styleId="1706">
    <w:name w:val="Body Text Indent 2"/>
    <w:basedOn w:val="1643"/>
    <w:link w:val="1707"/>
    <w:uiPriority w:val="99"/>
    <w:pPr>
      <w:ind w:left="283" w:firstLine="0"/>
      <w:jc w:val="left"/>
      <w:spacing w:after="120" w:line="480" w:lineRule="auto"/>
    </w:pPr>
    <w:rPr>
      <w:sz w:val="24"/>
      <w:szCs w:val="24"/>
    </w:rPr>
  </w:style>
  <w:style w:type="character" w:styleId="1707" w:customStyle="1">
    <w:name w:val="Основной текст с отступом 2 Знак"/>
    <w:basedOn w:val="1646"/>
    <w:link w:val="1706"/>
    <w:uiPriority w:val="99"/>
    <w:rPr>
      <w:rFonts w:ascii="Times New Roman" w:hAnsi="Times New Roman" w:eastAsia="Times New Roman" w:cs="Times New Roman"/>
      <w:sz w:val="24"/>
      <w:szCs w:val="24"/>
      <w:lang w:eastAsia="ru-RU"/>
    </w:rPr>
  </w:style>
  <w:style w:type="paragraph" w:styleId="1708">
    <w:name w:val="Plain Text"/>
    <w:basedOn w:val="1643"/>
    <w:link w:val="1709"/>
    <w:pPr>
      <w:ind w:firstLine="0"/>
      <w:jc w:val="left"/>
      <w:spacing w:line="240" w:lineRule="auto"/>
    </w:pPr>
    <w:rPr>
      <w:rFonts w:ascii="Courier New" w:hAnsi="Courier New" w:cs="Courier New"/>
      <w:sz w:val="20"/>
      <w:szCs w:val="20"/>
    </w:rPr>
  </w:style>
  <w:style w:type="character" w:styleId="1709" w:customStyle="1">
    <w:name w:val="Текст Знак"/>
    <w:basedOn w:val="1646"/>
    <w:link w:val="1708"/>
    <w:rPr>
      <w:rFonts w:ascii="Courier New" w:hAnsi="Courier New" w:eastAsia="Times New Roman" w:cs="Courier New"/>
      <w:sz w:val="20"/>
      <w:szCs w:val="20"/>
      <w:lang w:eastAsia="ru-RU"/>
    </w:rPr>
  </w:style>
  <w:style w:type="character" w:styleId="1710" w:customStyle="1">
    <w:name w:val="white"/>
    <w:basedOn w:val="1646"/>
    <w:uiPriority w:val="99"/>
    <w:rPr>
      <w:rFonts w:cs="Times New Roman"/>
    </w:rPr>
  </w:style>
  <w:style w:type="paragraph" w:styleId="1711" w:customStyle="1">
    <w:name w:val="Знак Знак Знак Знак Знак Знак Знак"/>
    <w:basedOn w:val="1643"/>
    <w:uiPriority w:val="99"/>
    <w:pPr>
      <w:ind w:firstLine="0"/>
      <w:jc w:val="left"/>
      <w:spacing w:after="160" w:line="240" w:lineRule="exact"/>
    </w:pPr>
    <w:rPr>
      <w:rFonts w:ascii="Verdana" w:hAnsi="Verdana"/>
      <w:sz w:val="20"/>
      <w:szCs w:val="20"/>
      <w:lang w:val="en-US" w:eastAsia="en-US"/>
    </w:rPr>
  </w:style>
  <w:style w:type="paragraph" w:styleId="1712">
    <w:name w:val="HTML Preformatted"/>
    <w:basedOn w:val="1643"/>
    <w:link w:val="1713"/>
    <w:uiPriority w:val="99"/>
    <w:pPr>
      <w:ind w:firstLine="0"/>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1713" w:customStyle="1">
    <w:name w:val="Стандартный HTML Знак"/>
    <w:basedOn w:val="1646"/>
    <w:link w:val="1712"/>
    <w:uiPriority w:val="99"/>
    <w:rPr>
      <w:rFonts w:ascii="Courier New" w:hAnsi="Courier New" w:eastAsia="Times New Roman" w:cs="Times New Roman"/>
      <w:sz w:val="20"/>
      <w:szCs w:val="20"/>
      <w:lang w:eastAsia="ru-RU"/>
    </w:rPr>
  </w:style>
  <w:style w:type="character" w:styleId="1714" w:customStyle="1">
    <w:name w:val="HTML Preformatted Char"/>
    <w:basedOn w:val="1646"/>
    <w:uiPriority w:val="99"/>
    <w:rPr>
      <w:rFonts w:ascii="Courier New" w:hAnsi="Courier New" w:cs="Times New Roman"/>
      <w:color w:val="000000"/>
      <w:lang w:val="ru-RU" w:eastAsia="ru-RU"/>
    </w:rPr>
  </w:style>
  <w:style w:type="character" w:styleId="1715" w:customStyle="1">
    <w:name w:val="Header Char"/>
    <w:basedOn w:val="1646"/>
    <w:uiPriority w:val="99"/>
    <w:semiHidden/>
    <w:rPr>
      <w:rFonts w:cs="Times New Roman"/>
      <w:sz w:val="20"/>
      <w:szCs w:val="20"/>
    </w:rPr>
  </w:style>
  <w:style w:type="paragraph" w:styleId="1716"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643"/>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17" w:customStyle="1">
    <w:name w:val="No Spacing1"/>
    <w:link w:val="1737"/>
    <w:uiPriority w:val="99"/>
    <w:pPr>
      <w:spacing w:after="0" w:line="240" w:lineRule="auto"/>
    </w:pPr>
    <w:rPr>
      <w:rFonts w:ascii="Calibri" w:hAnsi="Calibri" w:eastAsia="Times New Roman" w:cs="Times New Roman"/>
    </w:rPr>
  </w:style>
  <w:style w:type="paragraph" w:styleId="1718">
    <w:name w:val="Body Text Indent 3"/>
    <w:basedOn w:val="1643"/>
    <w:link w:val="1719"/>
    <w:uiPriority w:val="99"/>
    <w:pPr>
      <w:ind w:left="283" w:firstLine="0"/>
      <w:jc w:val="left"/>
      <w:spacing w:after="120" w:line="240" w:lineRule="auto"/>
      <w:widowControl w:val="off"/>
    </w:pPr>
    <w:rPr>
      <w:sz w:val="16"/>
      <w:szCs w:val="16"/>
    </w:rPr>
  </w:style>
  <w:style w:type="character" w:styleId="1719" w:customStyle="1">
    <w:name w:val="Основной текст с отступом 3 Знак"/>
    <w:basedOn w:val="1646"/>
    <w:link w:val="1718"/>
    <w:uiPriority w:val="99"/>
    <w:rPr>
      <w:rFonts w:ascii="Times New Roman" w:hAnsi="Times New Roman" w:eastAsia="Times New Roman" w:cs="Times New Roman"/>
      <w:sz w:val="16"/>
      <w:szCs w:val="16"/>
      <w:lang w:eastAsia="ru-RU"/>
    </w:rPr>
  </w:style>
  <w:style w:type="paragraph" w:styleId="1720" w:customStyle="1">
    <w:name w:val="1"/>
    <w:basedOn w:val="1643"/>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21" w:customStyle="1">
    <w:name w:val="Знак3"/>
    <w:basedOn w:val="1643"/>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22" w:customStyle="1">
    <w:name w:val="Знак Знак4 Знак Знак"/>
    <w:basedOn w:val="1643"/>
    <w:uiPriority w:val="99"/>
    <w:pPr>
      <w:ind w:firstLine="0"/>
      <w:jc w:val="left"/>
      <w:spacing w:after="160" w:line="240" w:lineRule="exact"/>
    </w:pPr>
    <w:rPr>
      <w:rFonts w:ascii="Verdana" w:hAnsi="Verdana"/>
      <w:sz w:val="20"/>
      <w:szCs w:val="20"/>
      <w:lang w:val="en-US" w:eastAsia="en-US"/>
    </w:rPr>
  </w:style>
  <w:style w:type="character" w:styleId="1723" w:customStyle="1">
    <w:name w:val="Верхний колонтитул Знак1"/>
    <w:rPr>
      <w:lang w:val="ru-RU" w:eastAsia="ru-RU"/>
    </w:rPr>
  </w:style>
  <w:style w:type="paragraph" w:styleId="1724" w:customStyle="1">
    <w:name w:val="ConsNonformat"/>
    <w:link w:val="1725"/>
    <w:uiPriority w:val="99"/>
    <w:pPr>
      <w:spacing w:after="0" w:line="240" w:lineRule="auto"/>
      <w:widowControl w:val="off"/>
    </w:pPr>
    <w:rPr>
      <w:rFonts w:ascii="Courier New" w:hAnsi="Courier New" w:eastAsia="Times New Roman" w:cs="Times New Roman"/>
      <w:lang w:eastAsia="ru-RU"/>
    </w:rPr>
  </w:style>
  <w:style w:type="character" w:styleId="1725" w:customStyle="1">
    <w:name w:val="ConsNonformat Знак"/>
    <w:link w:val="1724"/>
    <w:uiPriority w:val="99"/>
    <w:rPr>
      <w:rFonts w:ascii="Courier New" w:hAnsi="Courier New" w:eastAsia="Times New Roman" w:cs="Times New Roman"/>
      <w:lang w:eastAsia="ru-RU"/>
    </w:rPr>
  </w:style>
  <w:style w:type="paragraph" w:styleId="1726" w:customStyle="1">
    <w:name w:val="Знак Знак Знак Знак1"/>
    <w:basedOn w:val="1643"/>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727">
    <w:name w:val="Body Text 3"/>
    <w:basedOn w:val="1643"/>
    <w:link w:val="1728"/>
    <w:uiPriority w:val="99"/>
    <w:pPr>
      <w:ind w:firstLine="0"/>
      <w:jc w:val="left"/>
      <w:spacing w:after="120" w:line="240" w:lineRule="auto"/>
    </w:pPr>
    <w:rPr>
      <w:sz w:val="16"/>
      <w:szCs w:val="16"/>
    </w:rPr>
  </w:style>
  <w:style w:type="character" w:styleId="1728" w:customStyle="1">
    <w:name w:val="Основной текст 3 Знак"/>
    <w:basedOn w:val="1646"/>
    <w:link w:val="1727"/>
    <w:uiPriority w:val="99"/>
    <w:rPr>
      <w:rFonts w:ascii="Times New Roman" w:hAnsi="Times New Roman" w:eastAsia="Times New Roman" w:cs="Times New Roman"/>
      <w:sz w:val="16"/>
      <w:szCs w:val="16"/>
      <w:lang w:eastAsia="ru-RU"/>
    </w:rPr>
  </w:style>
  <w:style w:type="character" w:styleId="1729" w:customStyle="1">
    <w:name w:val="Font Style12"/>
    <w:uiPriority w:val="99"/>
    <w:rPr>
      <w:rFonts w:ascii="Times New Roman" w:hAnsi="Times New Roman"/>
      <w:sz w:val="26"/>
    </w:rPr>
  </w:style>
  <w:style w:type="character" w:styleId="1730" w:customStyle="1">
    <w:name w:val="Верхний колонтитул Знак Знак Знак1"/>
    <w:rPr>
      <w:rFonts w:ascii="Courier New" w:hAnsi="Courier New"/>
      <w:sz w:val="24"/>
      <w:lang w:val="ru-RU" w:eastAsia="ru-RU"/>
    </w:rPr>
  </w:style>
  <w:style w:type="character" w:styleId="1731" w:customStyle="1">
    <w:name w:val="Основной текст1"/>
    <w:uiPriority w:val="99"/>
    <w:rPr>
      <w:color w:val="000000"/>
      <w:spacing w:val="0"/>
      <w:position w:val="0"/>
      <w:sz w:val="23"/>
      <w:shd w:val="clear" w:color="auto" w:fill="ffffff"/>
      <w:lang w:val="ru-RU"/>
    </w:rPr>
  </w:style>
  <w:style w:type="paragraph" w:styleId="1732" w:customStyle="1">
    <w:name w:val="Основной текст4"/>
    <w:basedOn w:val="1643"/>
    <w:uiPriority w:val="99"/>
    <w:pPr>
      <w:ind w:firstLine="0"/>
      <w:jc w:val="center"/>
      <w:spacing w:before="1800" w:after="360" w:line="240" w:lineRule="atLeast"/>
      <w:shd w:val="clear" w:color="auto" w:fill="ffffff"/>
      <w:widowControl w:val="off"/>
    </w:pPr>
    <w:rPr>
      <w:sz w:val="23"/>
      <w:szCs w:val="20"/>
      <w:shd w:val="clear" w:color="auto" w:fill="ffffff"/>
    </w:rPr>
  </w:style>
  <w:style w:type="paragraph" w:styleId="1733">
    <w:name w:val="Body Text 2"/>
    <w:basedOn w:val="1643"/>
    <w:link w:val="1734"/>
    <w:uiPriority w:val="99"/>
    <w:pPr>
      <w:ind w:firstLine="0"/>
      <w:jc w:val="left"/>
      <w:spacing w:after="120" w:line="480" w:lineRule="auto"/>
    </w:pPr>
    <w:rPr>
      <w:sz w:val="24"/>
      <w:szCs w:val="20"/>
    </w:rPr>
  </w:style>
  <w:style w:type="character" w:styleId="1734" w:customStyle="1">
    <w:name w:val="Основной текст 2 Знак"/>
    <w:basedOn w:val="1646"/>
    <w:link w:val="1733"/>
    <w:uiPriority w:val="99"/>
    <w:rPr>
      <w:rFonts w:ascii="Times New Roman" w:hAnsi="Times New Roman" w:eastAsia="Times New Roman" w:cs="Times New Roman"/>
      <w:sz w:val="24"/>
      <w:szCs w:val="20"/>
      <w:lang w:eastAsia="ru-RU"/>
    </w:rPr>
  </w:style>
  <w:style w:type="paragraph" w:styleId="1735">
    <w:name w:val="Block Text"/>
    <w:basedOn w:val="1643"/>
    <w:pPr>
      <w:ind w:left="-540" w:right="5395" w:firstLine="540"/>
      <w:spacing w:line="240" w:lineRule="auto"/>
    </w:pPr>
    <w:rPr>
      <w:sz w:val="24"/>
      <w:szCs w:val="24"/>
    </w:rPr>
  </w:style>
  <w:style w:type="paragraph" w:styleId="1736" w:customStyle="1">
    <w:name w:val="Знак1 Знак Знак Знак"/>
    <w:basedOn w:val="1643"/>
    <w:uiPriority w:val="99"/>
    <w:pPr>
      <w:ind w:firstLine="0"/>
      <w:jc w:val="left"/>
      <w:spacing w:before="100" w:beforeAutospacing="1" w:after="100" w:afterAutospacing="1" w:line="240" w:lineRule="auto"/>
    </w:pPr>
    <w:rPr>
      <w:rFonts w:ascii="Tahoma" w:hAnsi="Tahoma" w:cs="Tahoma"/>
      <w:sz w:val="20"/>
      <w:szCs w:val="20"/>
      <w:lang w:val="en-US" w:eastAsia="en-US"/>
    </w:rPr>
  </w:style>
  <w:style w:type="character" w:styleId="1737" w:customStyle="1">
    <w:name w:val="No Spacing Char"/>
    <w:link w:val="1717"/>
    <w:uiPriority w:val="99"/>
    <w:rPr>
      <w:rFonts w:ascii="Calibri" w:hAnsi="Calibri" w:eastAsia="Times New Roman" w:cs="Times New Roman"/>
    </w:rPr>
  </w:style>
  <w:style w:type="character" w:styleId="1738" w:customStyle="1">
    <w:name w:val="Верхний колонтитул Знак1 Знак Знак1"/>
    <w:uiPriority w:val="99"/>
    <w:rPr>
      <w:sz w:val="22"/>
      <w:lang w:eastAsia="en-US"/>
    </w:rPr>
  </w:style>
  <w:style w:type="character" w:styleId="1739" w:customStyle="1">
    <w:name w:val="Знак Знак2"/>
    <w:uiPriority w:val="99"/>
    <w:rPr>
      <w:sz w:val="24"/>
    </w:rPr>
  </w:style>
  <w:style w:type="character" w:styleId="1740" w:customStyle="1">
    <w:name w:val="Знак Знак1 Знак"/>
    <w:basedOn w:val="1646"/>
    <w:rPr>
      <w:rFonts w:ascii="Times New Roman" w:hAnsi="Times New Roman" w:eastAsia="Times New Roman" w:cs="Times New Roman"/>
      <w:sz w:val="24"/>
      <w:szCs w:val="20"/>
      <w:lang w:eastAsia="ru-RU"/>
    </w:rPr>
  </w:style>
  <w:style w:type="paragraph" w:styleId="1741" w:customStyle="1">
    <w:name w:val="Обычный + 13 пт"/>
    <w:basedOn w:val="1643"/>
    <w:pPr>
      <w:ind w:firstLine="708"/>
      <w:spacing w:line="240" w:lineRule="auto"/>
    </w:pPr>
    <w:rPr>
      <w:sz w:val="26"/>
      <w:szCs w:val="26"/>
    </w:rPr>
  </w:style>
  <w:style w:type="character" w:styleId="1742" w:customStyle="1">
    <w:name w:val="Основной текст (5)_"/>
    <w:basedOn w:val="1646"/>
    <w:link w:val="1743"/>
    <w:rPr>
      <w:b/>
      <w:bCs/>
      <w:sz w:val="28"/>
      <w:szCs w:val="28"/>
      <w:shd w:val="clear" w:color="auto" w:fill="ffffff"/>
    </w:rPr>
  </w:style>
  <w:style w:type="paragraph" w:styleId="1743" w:customStyle="1">
    <w:name w:val="Основной текст (5)"/>
    <w:basedOn w:val="1643"/>
    <w:link w:val="1742"/>
    <w:pPr>
      <w:ind w:firstLine="0"/>
      <w:spacing w:line="322" w:lineRule="exact"/>
      <w:shd w:val="clear" w:color="auto" w:fill="ffffff"/>
      <w:widowControl w:val="off"/>
    </w:pPr>
    <w:rPr>
      <w:rFonts w:asciiTheme="minorHAnsi" w:hAnsiTheme="minorHAnsi" w:eastAsiaTheme="minorHAnsi" w:cstheme="minorBidi"/>
      <w:b/>
      <w:bCs/>
      <w:lang w:eastAsia="en-US"/>
    </w:rPr>
  </w:style>
  <w:style w:type="character" w:styleId="1744" w:customStyle="1">
    <w:name w:val="Основной текст (4)_"/>
    <w:basedOn w:val="1646"/>
    <w:link w:val="1745"/>
    <w:rPr>
      <w:b/>
      <w:bCs/>
      <w:shd w:val="clear" w:color="auto" w:fill="ffffff"/>
    </w:rPr>
  </w:style>
  <w:style w:type="paragraph" w:styleId="1745" w:customStyle="1">
    <w:name w:val="Основной текст (4)"/>
    <w:basedOn w:val="1643"/>
    <w:link w:val="1744"/>
    <w:pPr>
      <w:ind w:firstLine="0"/>
      <w:jc w:val="left"/>
      <w:spacing w:line="269" w:lineRule="exact"/>
      <w:shd w:val="clear" w:color="auto" w:fill="ffffff"/>
      <w:widowControl w:val="off"/>
    </w:pPr>
    <w:rPr>
      <w:rFonts w:asciiTheme="minorHAnsi" w:hAnsiTheme="minorHAnsi" w:eastAsiaTheme="minorHAnsi" w:cstheme="minorBidi"/>
      <w:b/>
      <w:bCs/>
      <w:sz w:val="22"/>
      <w:szCs w:val="22"/>
      <w:lang w:eastAsia="en-US"/>
    </w:rPr>
  </w:style>
  <w:style w:type="character" w:styleId="1746" w:customStyle="1">
    <w:name w:val="Основной текст (2)_"/>
    <w:basedOn w:val="1646"/>
    <w:link w:val="1747"/>
    <w:rPr>
      <w:sz w:val="26"/>
      <w:szCs w:val="26"/>
      <w:shd w:val="clear" w:color="auto" w:fill="ffffff"/>
    </w:rPr>
  </w:style>
  <w:style w:type="paragraph" w:styleId="1747" w:customStyle="1">
    <w:name w:val="Основной текст (2)"/>
    <w:basedOn w:val="1643"/>
    <w:link w:val="1746"/>
    <w:pPr>
      <w:ind w:firstLine="0"/>
      <w:jc w:val="left"/>
      <w:spacing w:line="322" w:lineRule="exact"/>
      <w:shd w:val="clear" w:color="auto" w:fill="ffffff"/>
      <w:widowControl w:val="off"/>
    </w:pPr>
    <w:rPr>
      <w:rFonts w:asciiTheme="minorHAnsi" w:hAnsiTheme="minorHAnsi" w:eastAsiaTheme="minorHAnsi" w:cstheme="minorBidi"/>
      <w:sz w:val="26"/>
      <w:szCs w:val="26"/>
      <w:lang w:eastAsia="en-US"/>
    </w:rPr>
  </w:style>
  <w:style w:type="paragraph" w:styleId="1748" w:customStyle="1">
    <w:name w:val="_Базовый"/>
    <w:basedOn w:val="1643"/>
    <w:pPr>
      <w:ind w:firstLine="850"/>
      <w:spacing w:line="240" w:lineRule="auto"/>
      <w:tabs>
        <w:tab w:val="left" w:pos="736" w:leader="none"/>
        <w:tab w:val="left" w:pos="914" w:leader="none"/>
      </w:tabs>
    </w:pPr>
    <w:rPr>
      <w:rFonts w:eastAsia="Arial" w:cs="Arial"/>
      <w:lang w:eastAsia="zh-CN" w:bidi="hi-IN"/>
    </w:rPr>
  </w:style>
  <w:style w:type="paragraph" w:styleId="1749" w:customStyle="1">
    <w:name w:val="ConsPlusNonformat"/>
    <w:pPr>
      <w:spacing w:after="0" w:line="240" w:lineRule="auto"/>
    </w:pPr>
    <w:rPr>
      <w:rFonts w:ascii="Courier New" w:hAnsi="Courier New" w:eastAsia="Times New Roman" w:cs="Courier New"/>
      <w:sz w:val="20"/>
      <w:szCs w:val="20"/>
      <w:lang w:eastAsia="ru-RU"/>
    </w:rPr>
  </w:style>
  <w:style w:type="character" w:styleId="1750" w:customStyle="1">
    <w:name w:val="Выделение1"/>
    <w:uiPriority w:val="20"/>
    <w:qFormat/>
    <w:rPr>
      <w:i/>
      <w:iCs/>
    </w:rPr>
  </w:style>
  <w:style w:type="character" w:styleId="1751" w:customStyle="1">
    <w:name w:val="Заголовок 4 Знак"/>
    <w:basedOn w:val="1646"/>
    <w:link w:val="1645"/>
    <w:uiPriority w:val="9"/>
    <w:rPr>
      <w:rFonts w:asciiTheme="majorHAnsi" w:hAnsiTheme="majorHAnsi" w:eastAsiaTheme="majorEastAsia" w:cstheme="majorBidi"/>
      <w:b/>
      <w:bCs/>
      <w:i/>
      <w:iCs/>
      <w:color w:val="5b9bd5" w:themeColor="accent1"/>
      <w:sz w:val="28"/>
      <w:szCs w:val="28"/>
      <w:lang w:eastAsia="ru-RU"/>
    </w:rPr>
  </w:style>
  <w:style w:type="paragraph" w:styleId="1752" w:customStyle="1">
    <w:name w:val="Информация об изменениях"/>
    <w:basedOn w:val="1643"/>
    <w:next w:val="1643"/>
    <w:uiPriority w:val="99"/>
    <w:pPr>
      <w:ind w:left="360" w:right="360" w:firstLine="0"/>
      <w:spacing w:before="180" w:line="240" w:lineRule="auto"/>
    </w:pPr>
    <w:rPr>
      <w:rFonts w:ascii="Arial" w:hAnsi="Arial" w:cs="Arial"/>
      <w:color w:val="353842"/>
      <w:sz w:val="18"/>
      <w:szCs w:val="18"/>
      <w:shd w:val="clear" w:color="auto" w:fill="eaefe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hyperlink" Target="garantF1://12007402.53044" TargetMode="External"/><Relationship Id="rId36" Type="http://schemas.openxmlformats.org/officeDocument/2006/relationships/hyperlink" Target="https://xn----9sbkcac6brh7h.xn--p1ai/34935/" TargetMode="External"/><Relationship Id="rId37" Type="http://schemas.openxmlformats.org/officeDocument/2006/relationships/hyperlink" Target="https://xn----9sbkcac6brh7h.xn--p1ai/34937/" TargetMode="External"/><Relationship Id="rId38" Type="http://schemas.openxmlformats.org/officeDocument/2006/relationships/hyperlink" Target="https://vk.com/wall-65718690_8026" TargetMode="External"/><Relationship Id="rId39" Type="http://schemas.openxmlformats.org/officeDocument/2006/relationships/hyperlink" Target="https://vk.com/wall-192914079_844" TargetMode="External"/><Relationship Id="rId40" Type="http://schemas.openxmlformats.org/officeDocument/2006/relationships/image" Target="media/image16.png"/><Relationship Id="rId41" Type="http://schemas.openxmlformats.org/officeDocument/2006/relationships/image" Target="media/image17.jpg"/><Relationship Id="rId42" Type="http://schemas.openxmlformats.org/officeDocument/2006/relationships/image" Target="media/image18.jpg"/><Relationship Id="rId43" Type="http://schemas.openxmlformats.org/officeDocument/2006/relationships/image" Target="media/image19.jpg"/><Relationship Id="rId44" Type="http://schemas.openxmlformats.org/officeDocument/2006/relationships/image" Target="media/image20.jpg"/><Relationship Id="rId45" Type="http://schemas.openxmlformats.org/officeDocument/2006/relationships/image" Target="media/image21.jpg"/><Relationship Id="rId46" Type="http://schemas.openxmlformats.org/officeDocument/2006/relationships/image" Target="media/image22.jpg"/><Relationship Id="rId47" Type="http://schemas.openxmlformats.org/officeDocument/2006/relationships/image" Target="media/image23.jpg"/><Relationship Id="rId48" Type="http://schemas.openxmlformats.org/officeDocument/2006/relationships/image" Target="media/image24.jpg"/><Relationship Id="rId49" Type="http://schemas.openxmlformats.org/officeDocument/2006/relationships/image" Target="media/image2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rosstat.gov.ru/compendium/document/13284" TargetMode="External"/><Relationship Id="rId2" Type="http://schemas.openxmlformats.org/officeDocument/2006/relationships/hyperlink" Target="https://72.rosstat.gov.ru/ofs_demp_hmao" TargetMode="External"/><Relationship Id="rId3" Type="http://schemas.openxmlformats.org/officeDocument/2006/relationships/hyperlink" Target="https://72.rosstat.gov.ru/news/document/248616" TargetMode="External"/><Relationship Id="rId4" Type="http://schemas.openxmlformats.org/officeDocument/2006/relationships/hyperlink" Target="https://72.rosstat.gov.ru/news/document/253227" TargetMode="External"/><Relationship Id="rId5" Type="http://schemas.openxmlformats.org/officeDocument/2006/relationships/hyperlink" Target="https://72.rosstat.gov.ru/news/document/248616" TargetMode="External"/><Relationship Id="rId6" Type="http://schemas.openxmlformats.org/officeDocument/2006/relationships/hyperlink" Target="https://72.rosstat.gov.ru/news/document/248616" TargetMode="External"/><Relationship Id="rId7" Type="http://schemas.openxmlformats.org/officeDocument/2006/relationships/hyperlink" Target="https://72.rosstat.gov.ru/news/document/253227" TargetMode="External"/><Relationship Id="rId8" Type="http://schemas.openxmlformats.org/officeDocument/2006/relationships/hyperlink" Target="https://72.rosstat.gov.ru/news/document/253227" TargetMode="External"/><Relationship Id="rId9" Type="http://schemas.openxmlformats.org/officeDocument/2006/relationships/hyperlink" Target="https://72.rosstat.gov.ru/news/document/253227" TargetMode="External"/><Relationship Id="rId10" Type="http://schemas.openxmlformats.org/officeDocument/2006/relationships/hyperlink" Target="https://72.rosstat.gov.ru/news/document/248616" TargetMode="External"/><Relationship Id="rId11" Type="http://schemas.openxmlformats.org/officeDocument/2006/relationships/hyperlink" Target="https://72.rosstat.gov.ru/news/document/248616"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34B75-6B54-4550-88B4-3C1A0314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Р7-Офис/7.4.0.227</Application>
  <Company>HP</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revision>9</cp:revision>
  <dcterms:created xsi:type="dcterms:W3CDTF">2025-03-09T09:00:00Z</dcterms:created>
  <dcterms:modified xsi:type="dcterms:W3CDTF">2025-03-13T07:56:35Z</dcterms:modified>
</cp:coreProperties>
</file>