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–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  <w:t xml:space="preserve">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59"/>
        <w:jc w:val="right"/>
        <w:rPr>
          <w:b w:val="0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8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8"/>
      </w:pPr>
      <w:r>
        <w:t xml:space="preserve">РАСПОРЯЖЕ</w:t>
      </w:r>
      <w:r>
        <w:t xml:space="preserve">НИЕ</w:t>
      </w:r>
      <w:r/>
    </w:p>
    <w:p>
      <w:pPr>
        <w:pStyle w:val="6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7"/>
        <w:jc w:val="both"/>
      </w:pPr>
      <w:r>
        <w:t xml:space="preserve">     </w:t>
      </w:r>
      <w:r>
        <w:t xml:space="preserve">о</w:t>
      </w:r>
      <w:r>
        <w:t xml:space="preserve">т</w:t>
      </w:r>
      <w:r>
        <w:t xml:space="preserve"> </w:t>
      </w:r>
      <w:r>
        <w:t xml:space="preserve">30 августа</w:t>
      </w:r>
      <w:r>
        <w:t xml:space="preserve"> </w:t>
      </w:r>
      <w:r>
        <w:t xml:space="preserve">202</w:t>
      </w:r>
      <w:r>
        <w:t xml:space="preserve">4</w:t>
      </w:r>
      <w:r>
        <w:t xml:space="preserve"> года</w:t>
      </w:r>
      <w:r>
        <w:t xml:space="preserve">                                                                                      </w:t>
      </w:r>
      <w:r>
        <w:t xml:space="preserve"> </w:t>
      </w:r>
      <w:r>
        <w:t xml:space="preserve">   </w:t>
      </w:r>
      <w:r>
        <w:t xml:space="preserve"> </w:t>
      </w:r>
      <w:r>
        <w:t xml:space="preserve"> </w:t>
      </w:r>
      <w:r>
        <w:t xml:space="preserve">   </w:t>
      </w:r>
      <w:r>
        <w:t xml:space="preserve">      </w:t>
      </w:r>
      <w:r>
        <w:t xml:space="preserve">    </w:t>
      </w:r>
      <w:r>
        <w:t xml:space="preserve">№</w:t>
      </w:r>
      <w:r>
        <w:t xml:space="preserve"> </w:t>
      </w:r>
      <w:r>
        <w:t xml:space="preserve">154</w:t>
      </w:r>
      <w:r>
        <w:t xml:space="preserve">-р</w:t>
      </w:r>
      <w:r/>
    </w:p>
    <w:p>
      <w:pPr>
        <w:pStyle w:val="667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6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плане мероприятий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(«дорожной карте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) по содействию развитию конкуренции </w:t>
      </w:r>
      <w:r>
        <w:rPr>
          <w:b/>
          <w:sz w:val="24"/>
          <w:szCs w:val="24"/>
        </w:rPr>
        <w:t xml:space="preserve">на территории Белоярского района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jc w:val="center"/>
      </w:pPr>
      <w:r/>
      <w:r/>
    </w:p>
    <w:p>
      <w:pPr>
        <w:pStyle w:val="657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целях создания условий для развития конкуренции на приоритетных и социально значимых рынках товаров и услуг Белоярского района, а также</w:t>
      </w:r>
      <w:r>
        <w:rPr>
          <w:sz w:val="24"/>
          <w:szCs w:val="24"/>
        </w:rPr>
        <w:t xml:space="preserve"> в соответствии с распоряжением Губернатора Ханты-Мансийского автономного округа - Югры от 1 августа 2019 года № 162-рг «О развитии конкуренции в Ханты-Мансийском автономном округе – Югре», пунктом 3 распоряжения Правительства Ханты-Мансийского автономного</w:t>
      </w:r>
      <w:r>
        <w:rPr>
          <w:sz w:val="24"/>
          <w:szCs w:val="24"/>
        </w:rPr>
        <w:t xml:space="preserve"> округа - Югры от 24 декабря 2018 года № 714-рп «О ходе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Российской Федерации 5 апреля 2018 года»:</w:t>
      </w:r>
      <w:r>
        <w:rPr>
          <w:sz w:val="24"/>
          <w:szCs w:val="24"/>
        </w:rPr>
      </w:r>
    </w:p>
    <w:p>
      <w:pPr>
        <w:pStyle w:val="657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Утвердить план мероприятий («дорожную карту») по содействию развитию</w:t>
      </w:r>
      <w:r>
        <w:rPr>
          <w:sz w:val="24"/>
          <w:szCs w:val="24"/>
        </w:rPr>
        <w:t xml:space="preserve"> конкуренции на территории Белоярского района (далее – План) согласно приложению 1 к настоящему распоряжению.</w:t>
      </w:r>
      <w:r>
        <w:rPr>
          <w:sz w:val="24"/>
          <w:szCs w:val="24"/>
        </w:rPr>
      </w:r>
    </w:p>
    <w:p>
      <w:pPr>
        <w:pStyle w:val="657"/>
        <w:ind w:firstLine="709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Утвердить ключевые показатели развития конкуренции в отдельных отраслях экономики на территории Белоярского района на 202</w:t>
      </w:r>
      <w:r>
        <w:rPr>
          <w:sz w:val="24"/>
          <w:szCs w:val="24"/>
        </w:rPr>
        <w:t xml:space="preserve">4 – 2026</w:t>
      </w:r>
      <w:r>
        <w:rPr>
          <w:sz w:val="24"/>
          <w:szCs w:val="24"/>
        </w:rPr>
        <w:t xml:space="preserve"> годы, согласно приложению 2 к настоящему распоряжению.</w:t>
      </w:r>
      <w:r>
        <w:rPr>
          <w:sz w:val="24"/>
          <w:szCs w:val="24"/>
        </w:rPr>
      </w:r>
    </w:p>
    <w:p>
      <w:pPr>
        <w:pStyle w:val="657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 Руководителям органов администрации Белоярского района, муниципальных учреждений Белоярского района, ответственным за исполнение мероприятий Плана:</w:t>
      </w:r>
      <w:r>
        <w:rPr>
          <w:sz w:val="24"/>
          <w:szCs w:val="24"/>
        </w:rPr>
      </w:r>
    </w:p>
    <w:p>
      <w:pPr>
        <w:pStyle w:val="657"/>
        <w:numPr>
          <w:ilvl w:val="1"/>
          <w:numId w:val="4"/>
        </w:numPr>
        <w:ind w:left="0" w:firstLine="709"/>
        <w:jc w:val="both"/>
        <w:tabs>
          <w:tab w:val="left" w:pos="0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организовать работу и обеспечить реализацию Плана;</w:t>
      </w:r>
      <w:r>
        <w:rPr>
          <w:sz w:val="24"/>
          <w:szCs w:val="24"/>
        </w:rPr>
      </w:r>
    </w:p>
    <w:p>
      <w:pPr>
        <w:pStyle w:val="657"/>
        <w:numPr>
          <w:ilvl w:val="1"/>
          <w:numId w:val="4"/>
        </w:numPr>
        <w:ind w:left="0" w:firstLine="709"/>
        <w:jc w:val="both"/>
        <w:tabs>
          <w:tab w:val="left" w:pos="0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ежеквартально, в срок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5-го числа месяца</w:t>
      </w:r>
      <w:r>
        <w:rPr>
          <w:b/>
          <w:sz w:val="24"/>
          <w:szCs w:val="24"/>
        </w:rPr>
        <w:t xml:space="preserve">,</w:t>
      </w:r>
      <w:r>
        <w:rPr>
          <w:sz w:val="24"/>
          <w:szCs w:val="24"/>
        </w:rPr>
        <w:t xml:space="preserve"> следующего за отчетным периодом, предоставлять в управление экономики, реформ и программ администрации Белоярского района информацию о ходе реализации Плана, достигнутых значениях ключевых</w:t>
      </w:r>
      <w:r>
        <w:rPr>
          <w:sz w:val="24"/>
          <w:szCs w:val="24"/>
        </w:rPr>
        <w:t xml:space="preserve"> показателей за отчетный период.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 Признать утратившим силу распоряжение администрации Белоярского района от                25 </w:t>
      </w:r>
      <w:r>
        <w:rPr>
          <w:sz w:val="24"/>
          <w:szCs w:val="24"/>
        </w:rPr>
        <w:t xml:space="preserve">июля 2023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159</w:t>
      </w:r>
      <w:r>
        <w:rPr>
          <w:sz w:val="24"/>
          <w:szCs w:val="24"/>
        </w:rPr>
        <w:t xml:space="preserve">-р «О плане мероприятий («дорожной карте») по содействию развитию конкуренции на территории Белоярского района».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 Контроль за выполнением распоряжения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  <w:r>
        <w:rPr>
          <w:sz w:val="24"/>
          <w:szCs w:val="24"/>
        </w:rPr>
      </w:r>
    </w:p>
    <w:p>
      <w:pPr>
        <w:pStyle w:val="6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jc w:val="both"/>
        <w:rPr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667"/>
        <w:ind w:firstLine="6237"/>
        <w:rPr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259" w:right="851" w:bottom="709" w:left="1077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Cs w:val="24"/>
        </w:rPr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ПРИЛОЖЕНИЕ</w:t>
      </w:r>
      <w:r>
        <w:rPr>
          <w:szCs w:val="24"/>
        </w:rPr>
        <w:t xml:space="preserve"> 1 </w:t>
      </w:r>
      <w:r>
        <w:rPr>
          <w:szCs w:val="24"/>
        </w:rPr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к </w:t>
      </w:r>
      <w:r>
        <w:rPr>
          <w:szCs w:val="24"/>
        </w:rPr>
        <w:t xml:space="preserve">распоряжени</w:t>
      </w:r>
      <w:r>
        <w:rPr>
          <w:szCs w:val="24"/>
        </w:rPr>
        <w:t xml:space="preserve">ю</w:t>
      </w:r>
      <w:r>
        <w:rPr>
          <w:szCs w:val="24"/>
        </w:rPr>
        <w:t xml:space="preserve"> администрации</w:t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Белоярского </w:t>
      </w:r>
      <w:r>
        <w:rPr>
          <w:szCs w:val="24"/>
        </w:rPr>
        <w:t xml:space="preserve">района</w:t>
      </w:r>
      <w:r>
        <w:rPr>
          <w:szCs w:val="24"/>
        </w:rPr>
      </w:r>
    </w:p>
    <w:p>
      <w:pPr>
        <w:pStyle w:val="667"/>
        <w:ind w:firstLine="10632"/>
        <w:jc w:val="lef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30 августа</w:t>
      </w:r>
      <w:r>
        <w:rPr>
          <w:szCs w:val="24"/>
        </w:rPr>
        <w:t xml:space="preserve"> </w:t>
      </w:r>
      <w:r>
        <w:rPr>
          <w:szCs w:val="24"/>
        </w:rPr>
        <w:t xml:space="preserve">2024</w:t>
      </w:r>
      <w:r>
        <w:rPr>
          <w:szCs w:val="24"/>
        </w:rPr>
        <w:t xml:space="preserve"> года №</w:t>
      </w:r>
      <w:r>
        <w:rPr>
          <w:szCs w:val="24"/>
        </w:rPr>
        <w:t xml:space="preserve"> 154</w:t>
      </w:r>
      <w:r>
        <w:rPr>
          <w:szCs w:val="24"/>
        </w:rPr>
        <w:t xml:space="preserve">-р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667"/>
        <w:ind w:firstLine="10632"/>
        <w:jc w:val="left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667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 </w:t>
      </w:r>
      <w:r>
        <w:rPr>
          <w:b/>
        </w:rPr>
        <w:t xml:space="preserve">Л</w:t>
      </w:r>
      <w:r>
        <w:rPr>
          <w:b/>
        </w:rPr>
        <w:t xml:space="preserve"> 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Н</w:t>
      </w:r>
      <w:r>
        <w:rPr>
          <w:b/>
        </w:rPr>
      </w:r>
    </w:p>
    <w:p>
      <w:pPr>
        <w:pStyle w:val="6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(«дорожная карта») по содействию развитию конкуренции на территории Белоярского района</w:t>
      </w:r>
      <w:r>
        <w:rPr>
          <w:b/>
          <w:sz w:val="24"/>
          <w:szCs w:val="24"/>
        </w:rPr>
      </w:r>
    </w:p>
    <w:p>
      <w:pPr>
        <w:pStyle w:val="6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514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1"/>
        <w:gridCol w:w="4358"/>
        <w:gridCol w:w="4221"/>
        <w:gridCol w:w="2341"/>
        <w:gridCol w:w="1276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 п/п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мероприятий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Планом мероприятий («дорожной картой») по содействию развитию конкуренции в ХМАО-Югре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мероприятий по содействию развитию конкуренции на территории Белоярского района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Ключевое событие/ результат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500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b/>
                <w:sz w:val="22"/>
                <w:szCs w:val="22"/>
              </w:rPr>
              <w:t xml:space="preserve">. Мероприятия по содействию развитию конкуренции на </w:t>
            </w:r>
            <w:r>
              <w:rPr>
                <w:b/>
                <w:sz w:val="22"/>
                <w:szCs w:val="22"/>
              </w:rPr>
              <w:t xml:space="preserve">товарных рынках для содействия развитию конкуренции на территории Белоярского района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племенного животноводства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Предоставление государственной поддержки на развитие малых форм хозяйствования</w:t>
            </w:r>
            <w:r>
              <w:rPr>
                <w:bCs/>
                <w:sz w:val="22"/>
                <w:szCs w:val="22"/>
                <w:lang w:eastAsia="zh-CN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Основное мероприятие «Государственная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 (Постановление </w:t>
            </w:r>
            <w:r>
              <w:rPr>
                <w:bCs/>
                <w:sz w:val="22"/>
                <w:szCs w:val="22"/>
              </w:rPr>
              <w:t xml:space="preserve">Правительства ХМАО-Югры </w:t>
            </w:r>
            <w:r>
              <w:rPr>
                <w:bCs/>
                <w:sz w:val="22"/>
                <w:szCs w:val="22"/>
              </w:rPr>
              <w:t xml:space="preserve">от 31.10.2021 № 473-п «О государственной программе Ханты-Мансийского автономного округа – Югры «Развитие агропромышленного комплекса»</w:t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капитального строительства, модернизации, реконструкции сельскохозяйственных объектов и объектов перерабатывающих производств сельскохозяйственной продукции </w:t>
            </w:r>
            <w:r>
              <w:rPr>
                <w:sz w:val="22"/>
                <w:szCs w:val="22"/>
              </w:rPr>
              <w:t xml:space="preserve">капитального строительства, в том числе внедрение энергосберегающих, ресурсосберегающих и передовых технологий; приобретение сельскохозяйственной техники; приобретение оборудования для перерабатывающих производств сельскохозяйственной, рыбной продукции; ст</w:t>
            </w:r>
            <w:r>
              <w:rPr>
                <w:sz w:val="22"/>
                <w:szCs w:val="22"/>
              </w:rPr>
              <w:t xml:space="preserve">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оборудования для обязательной маркировки молочной продукции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идентификации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обработки древесины и производства изделий из дерева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Обеспечение участия предприятий лесопромышленного комплекса в региональных и межрегиональных выставках-ярмарках</w:t>
            </w:r>
            <w:r>
              <w:rPr>
                <w:bCs/>
                <w:sz w:val="22"/>
                <w:szCs w:val="22"/>
                <w:lang w:eastAsia="zh-CN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участия предприятий лесопромышленного комплекса в региональных и межрегиональных выставках-ярмарках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рынка сбыта продукции, развитие розничной торговли изделиями из дерева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добычи общераспространенных полезных ископаемых на участках недр местного значения в Белоярском районе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участков нераспределенного фонда недр общераспространенных полезных ископаемых автономного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администрации Белоярского района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www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admbel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676"/>
                <w:color w:val="000000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676"/>
                <w:color w:val="000000"/>
                <w:sz w:val="22"/>
                <w:szCs w:val="22"/>
              </w:rPr>
              <w:t xml:space="preserve">://</w:t>
            </w:r>
            <w:r>
              <w:rPr>
                <w:rStyle w:val="676"/>
                <w:color w:val="000000"/>
                <w:sz w:val="22"/>
                <w:szCs w:val="22"/>
                <w:lang w:val="en-US"/>
              </w:rPr>
              <w:t xml:space="preserve">www</w:t>
            </w:r>
            <w:r>
              <w:rPr>
                <w:rStyle w:val="676"/>
                <w:color w:val="000000"/>
                <w:sz w:val="22"/>
                <w:szCs w:val="22"/>
              </w:rPr>
              <w:t xml:space="preserve">.</w:t>
            </w:r>
            <w:r>
              <w:rPr>
                <w:rStyle w:val="676"/>
                <w:color w:val="000000"/>
                <w:sz w:val="22"/>
                <w:szCs w:val="22"/>
                <w:lang w:val="en-US"/>
              </w:rPr>
              <w:t xml:space="preserve">admbel</w:t>
            </w:r>
            <w:r>
              <w:rPr>
                <w:rStyle w:val="676"/>
                <w:color w:val="000000"/>
                <w:sz w:val="22"/>
                <w:szCs w:val="22"/>
              </w:rPr>
              <w:t xml:space="preserve">.</w:t>
            </w:r>
            <w:r>
              <w:rPr>
                <w:rStyle w:val="676"/>
                <w:color w:val="000000"/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 реестра участников нераспределенного фонда недр общераспространенных полезных ископаемых Ханты-Мансийского автономного округа – Югры в Белоярском районе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купли-продажи электроэнергии (</w:t>
            </w:r>
            <w:r>
              <w:rPr>
                <w:sz w:val="22"/>
                <w:szCs w:val="22"/>
              </w:rPr>
              <w:t xml:space="preserve">мощности) на розничном рынке электрической энергии (мощности)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взаимодействия с гарантирующими поставщиками электрической энергии, оказание содействия в вопросах повышения качества предоставления услуг, в том ч</w:t>
            </w:r>
            <w:r>
              <w:rPr>
                <w:sz w:val="22"/>
                <w:szCs w:val="22"/>
              </w:rPr>
              <w:t xml:space="preserve">исле развитие сервисов дистанционного обслуживания потребителей (создание личных кабинетов потребителей на сайтах компаний, оптимизация работы колл-центров, внедрение сервисов оплаты услуг), расширение спектра дополнительных услуг для удобства потребителей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взаимодействия с гарантирующими</w:t>
            </w:r>
            <w:r>
              <w:rPr>
                <w:sz w:val="22"/>
                <w:szCs w:val="22"/>
              </w:rPr>
              <w:t xml:space="preserve"> поставщиками электрической энергии, оказание содействия в вопросах повышения качества предоставления услуг, оказание информационно-консультативной помощи хозяйствующим субъектам, осуществляющим деятельность на рынке купли-продажи электроэнергии (мощности)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купли-продажи электроэнергии (мощности)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теплоснабжения (производства тепловой энергии)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согл</w:t>
            </w:r>
            <w:r>
              <w:rPr>
                <w:sz w:val="22"/>
                <w:szCs w:val="22"/>
              </w:rPr>
              <w:t xml:space="preserve">ашений о предоставлении субсидий и (или) муниципальных контрактов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 силами Подрядчика(ов)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оказываемых коммунальных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Софинансирование платы концедента, в том числе в части расходов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концессионному соглашению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Софинансирование платы концедента, в том числе в части расходов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концессионному соглашению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жилищно-коммунального хозяйства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 xml:space="preserve">экономики, реформ и программ администрации</w:t>
            </w:r>
            <w:r>
              <w:rPr>
                <w:sz w:val="22"/>
                <w:szCs w:val="22"/>
              </w:rPr>
              <w:t xml:space="preserve">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</w:t>
            </w:r>
            <w:r>
              <w:rPr>
                <w:sz w:val="22"/>
                <w:szCs w:val="22"/>
              </w:rPr>
              <w:t xml:space="preserve">услуг по сбору и транспортировке твердых коммунальных отходов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помощи хозяйствующим субъектам, осуществляющим деятельность по транспортированию твердых коммунальных отходов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помощи хозяйствующим субъектам, осуществляющим деятельность по транспортированию твердых коммунальных отходов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конкуренции на рынке транспортирования твердых коммунальных отходов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жилищного строительства (за исключением индивидуального жилищного строительства)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целевой модели «Получение разрешения на строительство и территориальное планирование» в жилищном строительстве, оказание муниципальных услуг в соответствии с административным регламентом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сроков получения разрешений на строительство и ввод объекта в эксплуатацию,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сроков проведения экспертизы проектной документации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сроков получения разрешений на строительство и ввод объекта в эксплуатацию, сроков проведения экспертизы проектной документации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инженерной инфраструктурой земельных участков, предоставляемых для жилищного 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инженерной инфраструктурой земельных участков, предоставляемых для жилищного 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сокращение затрат застройщиков на строительство инженерной инфраструктуры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строительства объе</w:t>
            </w:r>
            <w:r>
              <w:rPr>
                <w:sz w:val="22"/>
                <w:szCs w:val="22"/>
              </w:rPr>
              <w:t xml:space="preserve">ктов капитального строительства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за исключением жилищного и дорожного строительства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федерального законодательства, приведение в соответствие с федеральным законодательством нормативных правовых актов автономного округа в сфере градостроительства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федерального, регионального законодательства, приведение в соответствие с федеральным, региональным законодательством муниципальных нормативных правовых актов в сфере градостроительства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региональных нормативных актов федеральному законодательству, упрощение процедур в сфере градостроительства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дорожной деятельности (за исключением проектирования)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импортозамещения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ремонтных работ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доли автомобильных дорог, соответствующих нормативным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(актуализация) комплексной схемы организации дорожного движения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(актуализация) комплексной схемы организации дорожного движения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пропускной способности улично-дорожной сети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архитектурно-строительного проектирования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Популяризация объемного моделирования в архитектурно-строительном проектировании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Популяризация объемного моделирования в архитектурно-строительном проектировании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лучших мировых практик, повышение конкурентоспособности, улучшение качества подготовленной проектной документации, на этапах строительства - соблюдение сроков реализации проекта, возможность отслеживания процесса строительства в режиме «онлайн»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кадастровых и землеустроительных работ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рынка кадастровых и землеустроительных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рынка кадастровых и землеустроительных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установление количества, доли участия организаций частной формы собственности на рынке кадастровых и землеустроительных работ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вылова водных биоресурсов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содействия предприятиям, занимающимся выловом водных биоресурсов по участию в выставках и (или) ярмарках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содействия предприятиям, занимающимся выловом водных биоресурсов по участию в выставках и (или) ярмарках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расширение рынка сбыта продукции, развитие торговли рыбной продукцией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дошкольного образования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переданных государственных </w:t>
            </w:r>
            <w:r>
              <w:rPr>
                <w:sz w:val="22"/>
                <w:szCs w:val="22"/>
              </w:rPr>
              <w:t xml:space="preserve">полномочий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посредством предоставления субсидии на возмещение за</w:t>
            </w:r>
            <w:r>
              <w:rPr>
                <w:sz w:val="22"/>
                <w:szCs w:val="22"/>
              </w:rPr>
              <w:t xml:space="preserve">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образованию администрации Белоярского района в информационно-телекоммуникационной сети «Интернет»: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numPr>
                <w:ilvl w:val="0"/>
                <w:numId w:val="11"/>
              </w:numPr>
              <w:ind w:left="-62" w:firstLine="141"/>
              <w:widowControl w:val="off"/>
              <w:tabs>
                <w:tab w:val="left" w:pos="36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состоянии развития негосударственного сектора в сфере дошкольного образования в Ханты-Мансийском автономном округе – Югре;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numPr>
                <w:ilvl w:val="0"/>
                <w:numId w:val="11"/>
              </w:numPr>
              <w:ind w:left="-62" w:firstLine="141"/>
              <w:widowControl w:val="off"/>
              <w:tabs>
                <w:tab w:val="left" w:pos="36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лицензировании частных детских садов;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numPr>
                <w:ilvl w:val="0"/>
                <w:numId w:val="11"/>
              </w:numPr>
              <w:ind w:left="-62" w:firstLine="141"/>
              <w:widowControl w:val="off"/>
              <w:tabs>
                <w:tab w:val="left" w:pos="36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сертификате дошкольника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</w:t>
            </w:r>
            <w:r>
              <w:rPr>
                <w:sz w:val="22"/>
                <w:szCs w:val="22"/>
              </w:rPr>
              <w:t xml:space="preserve">частных организаций к осуществлению образовательной деятельности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субсидии бюджетам муниципальных образований автономного округа на создание условий для осуществл</w:t>
            </w:r>
            <w:r>
              <w:rPr>
                <w:sz w:val="22"/>
                <w:szCs w:val="22"/>
              </w:rPr>
              <w:t xml:space="preserve">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автономного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образованию администрации Белоярского района в информационно-телекоммуникационной сети «Интернет» информации о предоставлении   субсидии на создание условий для осуществл</w:t>
            </w:r>
            <w:r>
              <w:rPr>
                <w:sz w:val="22"/>
                <w:szCs w:val="22"/>
              </w:rPr>
              <w:t xml:space="preserve">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автономного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14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частных организаций, занимающихся реализацией образовательной программы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и консультативной помощи частным организациям, в том числе физическим лицам, осуществляющим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</w:t>
            </w:r>
            <w:r>
              <w:rPr>
                <w:sz w:val="22"/>
                <w:szCs w:val="22"/>
              </w:rPr>
              <w:t xml:space="preserve">образования администрации Белоярского района в информационно-телекоммуникационной сети «Интернет» методических рекомендаций для частных организаций, осуществляющих образовательную деятельность по реализации образовательных программ дошкольного образования.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Активизация субъектов предпринимательской деятельности к проявлению интересов в сфере развития негосударственного сектора услуг дошкольного образования путем информационной открытости и доступности информации о вариативных формах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частных организаций к осуществлению образовательной деятельности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межведомственных семинаров по ознакомлению с проектами «Билдинг – Сад».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</w:t>
            </w:r>
            <w:r>
              <w:rPr>
                <w:sz w:val="22"/>
                <w:szCs w:val="22"/>
              </w:rPr>
              <w:t xml:space="preserve">циальном сайте Комитета по образованию администрации Белоярского района в информационно-телекоммуникационной сети «Интернет» информации и просветительских материалов по ознакомлению с проектами инвестиционных программ (в том числе проектом «Билдинг - Сад»)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общего образования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переданных государственных полномочий по финансовому обеспечению получения начального общего, основного </w:t>
            </w:r>
            <w:r>
              <w:rPr>
                <w:sz w:val="22"/>
                <w:szCs w:val="22"/>
              </w:rPr>
              <w:t xml:space="preserve">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</w:t>
            </w:r>
            <w:r>
              <w:rPr>
                <w:sz w:val="22"/>
                <w:szCs w:val="22"/>
              </w:rPr>
              <w:t xml:space="preserve">м организациям субсидий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</w:t>
            </w:r>
            <w:r>
              <w:rPr>
                <w:sz w:val="22"/>
                <w:szCs w:val="22"/>
              </w:rPr>
              <w:t xml:space="preserve">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образованию администрации Белоярского района в информационно-телекоммуникационной сети «Интернет»: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информации о состоянии развития негосударственного сектора в сфере начального общего, основного общего и среднего общего образования в Ханты-Мансийском автономном округе – Югре;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информации о лицензировании образовательной деятельности и аккредитации основных образовательных программ в соответствии с законодательством в сфере образования;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информации о переч</w:t>
            </w:r>
            <w:r>
              <w:rPr>
                <w:sz w:val="22"/>
                <w:szCs w:val="22"/>
              </w:rPr>
              <w:t xml:space="preserve">не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</w:t>
            </w:r>
            <w:r>
              <w:rPr>
                <w:sz w:val="22"/>
                <w:szCs w:val="22"/>
              </w:rPr>
              <w:t xml:space="preserve">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потенциальных частных организаций к осуществлению образовательной деятельности по реализации образовательных программ начального общего, основного общего и среднего общего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консультативной и методической помощи частным организациям, реализующим основные общеобразовательные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образования администрации Белоярского района в информаци</w:t>
            </w:r>
            <w:r>
              <w:rPr>
                <w:sz w:val="22"/>
                <w:szCs w:val="22"/>
              </w:rPr>
              <w:t xml:space="preserve">онно-телекоммуникационной сети «Интернет» методических рекомендаций для потенциальных частных организаций, осуществляющих образовательную деятельность по реализации образовательных программ начального общего, основного общего и среднего общего образования.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Активизация субъектов предпринимательской деятельности к проявлению интересов в сфере развития негосударственного сектора услуг общего образования путем информационной откр</w:t>
            </w:r>
            <w:r>
              <w:rPr>
                <w:sz w:val="22"/>
                <w:szCs w:val="22"/>
              </w:rPr>
              <w:t xml:space="preserve">ытости и доступности информации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частных организаций к осуществлению образовательной деятельности по реализации основных общеобразовательных программ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дополнительного образования детей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реестра негосударственных (немуниципальных) (частных) организаций, осуществляющих образовательную деятельность по реализации дополнительных общеразвивающих программ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информации о негосударственных (частных) организациях, осуществляющих образовательную деятельность по реализации дополнительных общеразвивающих программ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мониторинга негосударственных организаций, осуществляющих образовательную деятельность по реализации дополнительных общеразвивающих программ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</w:t>
            </w:r>
            <w:r>
              <w:rPr>
                <w:sz w:val="22"/>
                <w:szCs w:val="22"/>
              </w:rPr>
              <w:t xml:space="preserve">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профессиональной компете</w:t>
            </w:r>
            <w:r>
              <w:rPr>
                <w:sz w:val="22"/>
                <w:szCs w:val="22"/>
              </w:rPr>
              <w:t xml:space="preserve">нтности работников негосударственных организаций, реализующих дополнительные общеразвивающие программы, через участие в мероприятиях методической направленности (программы дополнительного профессионального образования, стажировки, семинары-практики и т.д.)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семинаров-практикумов, стажировок, представление эффективных практик, включение в программы дополнительного профессионального образования, прохождение курсов повышения квалификации работников негосударственных организаций, реализующих дополните</w:t>
            </w:r>
            <w:r>
              <w:rPr>
                <w:sz w:val="22"/>
                <w:szCs w:val="22"/>
              </w:rPr>
              <w:t xml:space="preserve">льные общеразвивающие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деятельности    работников негосударственных организаций, реализующих дополнительные общеразвивающие программы, внедрение современных инновационных технологий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</w:t>
            </w:r>
            <w:r>
              <w:rPr>
                <w:sz w:val="22"/>
                <w:szCs w:val="22"/>
              </w:rPr>
              <w:t xml:space="preserve">отдыха и оздоровления </w:t>
            </w:r>
            <w:r>
              <w:rPr>
                <w:sz w:val="22"/>
                <w:szCs w:val="22"/>
              </w:rPr>
              <w:t xml:space="preserve">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Ежегодная организация отдыха и оздоровления детей Белоярского района на территории района и за его пределами.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Ежегодное проведение уполномоченн</w:t>
            </w:r>
            <w:r>
              <w:rPr>
                <w:sz w:val="22"/>
                <w:szCs w:val="22"/>
              </w:rPr>
              <w:t xml:space="preserve">ым органом конкурса по организации отдыха детей в детских этнооздоровительных центрах, этнолагерях, на этноплощадках на территории Белоярского района в период детской оздоровительной кампании, в том числе негосударственными (немуниципальными) организациями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сектора негосударственных (немуниципальных) организаций отдыха и оздоровления детей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Систематическое предоставление необходимых информационных материалов, проведение консультаций с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негосударственными (немуниципальными) организациям, предоставляющим услуги по организации отдыха и оздоровления детей на территории Белоярского района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качественная и безопасная организация отдыха детей в этнической среде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психолого-педагогического сопровождения детей с ограниченными возможностями здоровья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межведомственного в</w:t>
            </w:r>
            <w:r>
              <w:rPr>
                <w:sz w:val="22"/>
                <w:szCs w:val="22"/>
              </w:rPr>
              <w:t xml:space="preserve">заимодействия в целях создания оптимальных условий для оказания услуг ранней диагностики, социализации и реабилитации детей с ограниченными возможностями здоровья (в возрасте до 6 лет), в том числе в частных негосударственных (немуниципальных) организациях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семинаров и совещаний по вопросам псих</w:t>
            </w:r>
            <w:r>
              <w:rPr>
                <w:sz w:val="22"/>
                <w:szCs w:val="22"/>
              </w:rPr>
              <w:t xml:space="preserve">олого-педагогического сопровождения детей с ограниченными возможностями здоровья с приглашением специалистов других ведомств и частных предпринимателей, оказывающих услуги психолого-педагогического сопровождения детей с ограниченными возможностями здоровья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частных организаций к осуществлению деятельности в сфере оказания услуг ранней диагностики, социализации и реабилитации детей с ограниченными возможностями здоровья (в возрасте до 6 лет)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0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консультативной и методической помощи частным организациям, оказывающим услуги ранней диагностики, социализации и реабилитации детей с ограниченными возможностями здоровья (в возрасте до 6 лет)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и консу</w:t>
            </w:r>
            <w:r>
              <w:rPr>
                <w:sz w:val="22"/>
                <w:szCs w:val="22"/>
              </w:rPr>
              <w:t xml:space="preserve">льтативной помощи частным организациям. Размещение на официальном сайте Комитета по образованию администрации Белоярского района и образовательных учреждений материалов по психолого-педагогическому сопровождению детей с ограниченными возможностями здоровья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частных организаций к осуществлению деятельности в сфере оказания услуг ранней диагностики, социализации и реабилитации детей с ограниченными возможностями здоровья (в возрасте до 6 лет)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розничной торговли лекарственными препаратами, медицинскими изделиями и сопутствующими товарами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мониторинга ассортимента и цен на жизненно важные лекарственные препараты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мониторинга ассортимента и цен на жизненно важные лекарственные препараты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ценовой доступности лекарственных препаратов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качества предоставления услуг частными аптечными организациями на рынке услуг розн</w:t>
            </w:r>
            <w:r>
              <w:rPr>
                <w:sz w:val="22"/>
                <w:szCs w:val="22"/>
              </w:rPr>
              <w:t xml:space="preserve">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уровня наценки на жизненно важные лекарственные препараты и качества лекарственных препаратов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качества предоставления услуг частными аптечными организациями на рынке услуг розн</w:t>
            </w:r>
            <w:r>
              <w:rPr>
                <w:sz w:val="22"/>
                <w:szCs w:val="22"/>
              </w:rPr>
              <w:t xml:space="preserve">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уровня наценки на жизненно важные лекарственные препараты и качества лекарственных препаратов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выбора, качественной и ценовой доступности лекарственных препаратов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благоустройства городской среды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 по благоустройству общественных территорий муниципальных образований, нуждающихся в благоустройстве по итогам проведенной инвентаризации 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общественных территорий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благоустройства городской среды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tabs>
                <w:tab w:val="left" w:pos="89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информационно-разъяснительной кампан</w:t>
            </w:r>
            <w:r>
              <w:rPr>
                <w:sz w:val="22"/>
                <w:szCs w:val="22"/>
              </w:rPr>
              <w:t xml:space="preserve">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информационно-разъяснительной кампан</w:t>
            </w:r>
            <w:r>
              <w:rPr>
                <w:sz w:val="22"/>
                <w:szCs w:val="22"/>
              </w:rPr>
              <w:t xml:space="preserve">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обслуживания жилищного фонда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маршрутов с учетом предложений,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изложенных в обращениях негосударственных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маршрутов с учетом предложений,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изложенных в обращениях негосударственных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безопасности и качества предоставляемых населению транспортных услуг, увеличение доходов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транспорта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открытых конкурсов (электронных аукционов) по муниципальным маршрутам регулярных перевозок в соответствии с Федеральным законом от 13</w:t>
            </w:r>
            <w:r>
              <w:rPr>
                <w:sz w:val="22"/>
                <w:szCs w:val="22"/>
              </w:rPr>
              <w:t xml:space="preserve"> июля 2015 года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открытых конкурсов  по муниципальным маршрутам регулярных перевозок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перевозок пассажиров наземным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перевозок пассажиров наземным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населения о работе пассажирского автомобильного транспорта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органов местного самоуправления Белоярского района информации о работе пассажирского автомобильного транспорта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населения по вопросам организации регулярных перевозок пассажиров автомобильным транспортом в муниципальном сообщении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05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.4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маршрутов с учетом предложений,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изложенных в обращениях негосударственных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маршрутов с учетом предложений,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изложенных в обращениях негосударственных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безопасности и качества предоставляемых населению транспортных услуг, увеличение доходов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.5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пассажиропотока и потребностей муниципального образования в корректировке существующей маршрутной сети и создание новых маршрутов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пассажиропотока и потребностей в корректировке существующей маршрутной сети и создание новых маршрутов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перевозок пассажиров наземным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.6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документа планирования регулярных перевозок с учетом полученной информации по результатам мониторинга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документа планирования регулярных перевозок с учетом полученной информации по результатам мониторинга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безопасности и качества предоставляемых населению транспортных услуг, увеличение доходов перевозчиков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связи по предоставлению широкополосного доступа к сети Интернет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вопросов, связанных с размещением инфраструктуры связи в муниципальных районах, на заседаниях муниципальных общественных советах при участии операторов связи, а также на заседаниях рабочей группы при Департаменте информаци</w:t>
            </w:r>
            <w:r>
              <w:rPr>
                <w:sz w:val="22"/>
                <w:szCs w:val="22"/>
              </w:rPr>
              <w:t xml:space="preserve">онных технологий Ханты-Мансийского автономного округа - Югры по развитию конкуренции на рынке услуг связи в Ханты-Мансийском автономном округе - Югре в случае поступления жалоб операторов связи по проблемам размещения объектов связи в муниципальных районах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Рассмотрение обращений по вопросам, связанным с размещением инфраструктуры связи в Белоярском районе на заседаниях муниципальных обществен</w:t>
            </w:r>
            <w:r>
              <w:rPr>
                <w:sz w:val="22"/>
                <w:szCs w:val="22"/>
                <w:lang w:eastAsia="en-US"/>
              </w:rPr>
              <w:t xml:space="preserve">ных советов  при участии операторов связи, а также на заседаниях рабочей группы при Департаменте информационных технологий Ханты-Мансийского автономного округа - Югры по развитию конкуренции на рынке услуг связи в Ханты-Мансийском автономном округе - Югре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количества объектов инфраструктуры по предоставлению сигнала связи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информационным ресурсам и защите информации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взаимодействия операторов связи с органами местного самоуправления и организациями жилищно-коммунального хозяйства по вопросам развития инфраструктуры связи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взаимодействия операторов связи с органами администрации Белоярского района и организациями жилищно-коммунального хозяйства по вопросам развития инфраструктуры связи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в реализации проектов в сфере развития инфраструктуры связи и средств связи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информационным ресурсам и защите информации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социальных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</w:t>
            </w:r>
            <w:r>
              <w:rPr>
                <w:sz w:val="22"/>
                <w:szCs w:val="22"/>
              </w:rPr>
              <w:t xml:space="preserve">ние условий для увеличения организаций различных организационно-правовых форм и форм собственности, предоставляющих социальные услуги (проект "Резиденция для пожилых", направленный на повышение качества жизни одиноких граждан пожилого возраста и инвалидов)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и консультативной помощи организациям различных организационно-правовых форм и форм собственности, предоставляющих социальные услуги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социальных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ритуальных услуг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участников рынка с указанием перечня предоставляемых ритуальных услуг, в том числе гарантированного перечня услуг по погребению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участников рынка с указанием перечня предоставляемых ритуальных услуг, в том числе гарантированного перечня услуг по погребению, действующих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населения Белоярского района об организациях, предоставляющих гарантированный перечень услуг по погребению и иные ритуальные услуги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на официальных сайтах органов местного самоуправления муниципальных образований и специализированных служб по вопросам похоронного дела специализированных разделов (вкладок) «Ритуальные услуги», актуализация информации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на официальном сайте органов местного самоуправления Белоярского района специализированного раздела (вкладки) «Ритуальные услуги», актуализация информации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рынке,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доступа потребителей к информации о перечне и стоимости предоставляемых участниками рынка ритуальных услуг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.3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инвентаризации кладбищ и мест захоронений на них, по ее результатам создание и раз</w:t>
            </w:r>
            <w:r>
              <w:rPr>
                <w:sz w:val="22"/>
                <w:szCs w:val="22"/>
              </w:rPr>
              <w:t xml:space="preserve">мещение в федеральной государственной информационной системе "Единая система нормативной справочной информации" справочника сведений о кладбищах и местах захоронений на них, доведение до населения информации, в том числе с использованием СМИ, о справочнике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инвентаризации кладбищ и мест захоронений на них, по ее результатам создание и раз</w:t>
            </w:r>
            <w:r>
              <w:rPr>
                <w:sz w:val="22"/>
                <w:szCs w:val="22"/>
              </w:rPr>
              <w:t xml:space="preserve">мещение в федеральной государственной информационной системе "Единая система нормативной справочной информации" справочника сведений о кладбищах и местах захоронений на них, доведение до населения информации, в том числе с использованием СМИ, о справочнике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стандартизация и перевод в электронный вид услуг по предоставлению мест захоронений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декабря</w:t>
            </w:r>
            <w:r>
              <w:rPr>
                <w:sz w:val="22"/>
                <w:szCs w:val="22"/>
              </w:rPr>
              <w:t xml:space="preserve"> 2025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ремонту автотранспортных средств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хозяйствующих субъектов о мерах поддержки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нефтепродуктов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земельных участков, предназначенных для строительства автозаправочных станций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инвентаризации земельных участков, пригодных для строительства автозаправочных станций, а также анализ целесообразности установки автозаправочных станций в удаленных населенных пунктах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увеличения количества автозаправочных станций в удаленных населенных пунктах и на отдельных участках автомобильных дорог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Сфера наружной рекламы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и осуществление демонтажа незаконных рекламных конструкций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и осуществление демонтажа незаконных рекламных конструкций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рекламных конструкций в соответствии с утвержденной схемой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схем размещения рекламных конструкций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схем размещения рекламных конструкций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доступ для хозяйствующих субъектов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.3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официальных сайтах органов местного самоуправления правовых актов в сфере наружной рекламы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органов местного самоуправления Белоярского района правовых актов в сфере наружной рекламы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правовой грамотности хозяйствующих субъектов, осуществляющих деятельность в сфере наружной рекламы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.4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на официальном сайте органов местного самоуправления Белоярского района о проведении торгов на право установки и эксплуатации рекламных конструкций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легкой промышленности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хозяйствующих субъектов о возможности получения государственной поддержки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хозяйствующих субъектов о мерах поддержки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в сфере физической культуры и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поставщиков услуг в сфере физической культуры и спорта 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реестра поставщиков услуг в сфере физической культуры и спорта, действующих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в продвижении услуг в сфере физической культуры и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 сфере культуры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об организации и проведении культурно-массовых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об организации и проведении культурно-массовых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турист</w:t>
            </w:r>
            <w:r>
              <w:rPr>
                <w:sz w:val="22"/>
                <w:szCs w:val="22"/>
              </w:rPr>
              <w:t xml:space="preserve">ских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хозяйствующих субъектов о мерах государственной поддержки на развитие внутреннего и въездного туризма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хозяйствующих субъектов о конкурсе по предоставлению финансовой поддержки в форме грантов на развитие туристской инфраструктуры и совершенствование туристских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проведении конкурса на официальном сайте органов местного самоуправления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сбора и заготовки пищевых лесных ресурсов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4"/>
        </w:trPr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реализации сельскохозяйственной продукции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содействия предприятиям в участии в выставочно-ярмарочных мероприятиях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Оказание содействия предприятиям </w:t>
            </w:r>
            <w:r>
              <w:rPr>
                <w:rFonts w:eastAsia="Calibri"/>
                <w:sz w:val="22"/>
                <w:szCs w:val="22"/>
              </w:rPr>
              <w:t xml:space="preserve">Белоярского района </w:t>
            </w:r>
            <w:r>
              <w:rPr>
                <w:rFonts w:eastAsia="Calibri"/>
                <w:sz w:val="22"/>
                <w:szCs w:val="22"/>
              </w:rPr>
              <w:t xml:space="preserve">в участии 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выставочно-ярмарочных мероприятиях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возможности участия в выставочно-ярмарочных мероприятиях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производства бетона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поддержки хозяйствующим субъектам, осуществляющим деятельность по производству бетона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поддержки хозяйствующим субъектам, осуществляющим деятельность по производству бетона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азвитие конкуренции на рынке производства бетона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переработки водных биоресурсов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содействия предприятиям, занимающимся переработкой водных биоресурсов, по участию в выставках и (или) ярмарках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Оказание содействия предприятиям </w:t>
            </w:r>
            <w:r>
              <w:rPr>
                <w:rFonts w:eastAsia="Calibri"/>
                <w:sz w:val="22"/>
                <w:szCs w:val="22"/>
              </w:rPr>
              <w:t xml:space="preserve">Белоярского района </w:t>
            </w:r>
            <w:r>
              <w:rPr>
                <w:rFonts w:eastAsia="Calibri"/>
                <w:sz w:val="22"/>
                <w:szCs w:val="22"/>
              </w:rPr>
              <w:t xml:space="preserve">в участии 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выставочно-ярмарочных мероприятиях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возможности участия в выставочно-ярмарочных мероприятиях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медицинских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Распространение наиболее эффективных механизмов финансовой и имущественной поддержки частных медицинских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поддержки</w:t>
            </w:r>
            <w:r>
              <w:rPr>
                <w:sz w:val="21"/>
                <w:szCs w:val="21"/>
              </w:rPr>
              <w:t xml:space="preserve"> частны</w:t>
            </w:r>
            <w:r>
              <w:rPr>
                <w:sz w:val="21"/>
                <w:szCs w:val="21"/>
              </w:rPr>
              <w:t xml:space="preserve">м</w:t>
            </w:r>
            <w:r>
              <w:rPr>
                <w:sz w:val="21"/>
                <w:szCs w:val="21"/>
              </w:rPr>
              <w:t xml:space="preserve"> медицински</w:t>
            </w:r>
            <w:r>
              <w:rPr>
                <w:sz w:val="21"/>
                <w:szCs w:val="21"/>
              </w:rPr>
              <w:t xml:space="preserve">м</w:t>
            </w:r>
            <w:r>
              <w:rPr>
                <w:sz w:val="21"/>
                <w:szCs w:val="21"/>
              </w:rPr>
              <w:t xml:space="preserve"> организаци</w:t>
            </w:r>
            <w:r>
              <w:rPr>
                <w:sz w:val="21"/>
                <w:szCs w:val="21"/>
              </w:rPr>
              <w:t xml:space="preserve">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увеличение количества частных медицинских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и багажа легковым такси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Оптимизация процедуры выдачи разрешений на осуществление деятельности по перевозке пассажиров и багажа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Оказание информационно-консультативной поддержки хозяйствующим субъектам, осуществляющим деятельность по </w:t>
            </w:r>
            <w:r>
              <w:rPr>
                <w:rFonts w:eastAsia="Calibri"/>
                <w:sz w:val="22"/>
                <w:szCs w:val="22"/>
              </w:rPr>
              <w:t xml:space="preserve">перевозке пассажиров и багажа легковым транспортом</w:t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овышение качества обслуживания населения легковым такси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производства хлеба и хлебобулочных изделий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Мероприятия не предусмотрены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Оказание информационно-консультативной и финансовой поддержки хозяйствующим субъектам, осуществляющим деятельность по производству хлеба и хлебобулочных изделий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Рынок водного транспорта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Мероприятия не предусмотрены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Оказание информационно-консультативной и финансовой поддержки хозяйствующим субъектам, осуществляющим деятельность по перевозке пассажиров и багажа водным транспортом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продовольственных и непродовольственных товаров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Мероприятия не предусмотрены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Возмещение затрат в связи с оказанием услуг торговли для обеспечения труднодоступных и отдаленных поселений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офтальмологических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</w:pPr>
            <w:r>
              <w:rPr>
                <w:sz w:val="22"/>
                <w:szCs w:val="22"/>
              </w:rPr>
              <w:t xml:space="preserve">42.1</w:t>
            </w:r>
            <w:r/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Мероприятия не предусмотрены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Оказание информационно-консультативной и финансовой поддержки хозяйствующим субъектам, осуществляющим деятельность на рынке офтальмологических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информация на официальном сайте органов местного самоуправления администрации Белоярского района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консалтинговых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Мероприятия не предусмотрены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консалтинговых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информированности хозяйствующих субъектов о мерах поддержки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500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II. Системные мероприятия, направленные на развитие конкурентной среды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конкурентоспособности товаров, работ, услуг субъектами малого и среднего предпринимательства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экспортно-ориентированных субъектов малого и среднего предпринимательства Югры в международных выставочно-ярмарочных мероприятиях, бизнес-миссиях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экспортно-ориентированных субъектов малого и среднего предпринимательства Белоярского района в выставочно-ярмарочных мероприятиях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возможности участия в выставочно-ярмарочных мероприятиях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Содействие в разработке технических условий, получении документов соответствия (сертификатов, деклараций) на продукцию, производимую субъектами малого и среднего предпринимательства, в том числе экспортно-ориентированных предприятий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субъектов малого и среднего предпринимательства, в том числе экспортно-ориентированных предприятий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товаропроизводителей, в том числе экспортно-ориентированных предприятий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обучающих мероприятий для субъектов малого и среднего предпринимательства по участию в закупках по Закону № 44-ФЗ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обучающих мероприятий для субъектов малого и среднего предпринимательства по участию в закупках по Закону № 44-ФЗ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повышение уровня компетентности субъектов малого и среднего предпринимательства по участию в закупках по Закону № 44-ФЗ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предпринимательства, отдел муниципального заказа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управления закупочной деятельностью субъектов естественных монополий и компаний с государственным участием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Размещение субъектами естественных монополий, хозяйствующими суб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ъектами, доля автономного округа или муниципального образования в которых составляет более 50%, в открытом доступе в сети Интернет перечня товаров (работ и услуг),  поставляемых (выполняемых или оказываемых) субъектами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субъектами естественных монопо</w:t>
            </w:r>
            <w:r>
              <w:rPr>
                <w:sz w:val="22"/>
                <w:szCs w:val="22"/>
              </w:rPr>
              <w:t xml:space="preserve">лий, хозяйствующими субъектами, доля муниципальной собственности в которых составляет более 50%, в открытом доступе в сети Интернет перечня товаров (работ и услуг), поставляемых (выполняемых или оказываемых) субъектами малого и среднего предпринимательства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эффективности закупочной деятельности субъектов естественных монополий, хозяйствующих субъектов, доля автономного округа или муниципального образования в которых составляет более 50% у субъектов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процессов управления объектами муниципальной собственности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эффективности управления муниципальным имуществом в соответствии с методикой, утвержденной приказом Департаментом имущества Ханты-Мансийского автономного округа – Югры (далее – Депимущества Югры) от 16 сентября 2019 года № 13-Пр-2 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комплекса мероприятий по эффективному управлению муниципальным имуществом: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формирование, утверждение отчетов о результатах приватизации имущества;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представление отчетности уполномоченному органу.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рейтинговой оценки эффективности управления муниципальным имуществом в разрезе сельских поселений в границах Белоярского района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процессов управления объектами муниципальной собственности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принятых на муниципальном уровне решений, приводящих к росту доли хозяйствующих субъектов, учреждаемых и контролируемых муниципальными образованиями, с оценкой их влияния на состояние конкуренции по соответствующим товарным рынкам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анализа доли хозяйствующих субъектов, учреждаемых и контролируемых муниципальным образованием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сокращение доли хозяйствующих субъектов, учреждаемых или контролируемых государством и/или муниципальными образованиями, в общем количестве хозяйствующих субъектов, осуществляющих деятельность на товарных рынках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Ежегодный отчет о выполнении комплекса мероприятий (программы) по </w:t>
            </w:r>
            <w:r>
              <w:rPr>
                <w:sz w:val="22"/>
                <w:szCs w:val="22"/>
              </w:rPr>
              <w:t xml:space="preserve">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наделенными правом предпринимательской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ежегодных балансовых</w:t>
            </w:r>
            <w:r>
              <w:rPr>
                <w:sz w:val="22"/>
                <w:szCs w:val="22"/>
              </w:rPr>
              <w:t xml:space="preserve"> комиссий и рассмотрение отчетности в соответствии с постановлением администрации Белоярского района от 23.01.2017 г. № 33 «О Порядке составления, утверждения и установления показателей программы финансово-хозяйственной деятельности МУП Белоярского района»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комплекса мероприятий по эффективному управлению муниципальными предприятиями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2024</w:t>
            </w:r>
            <w:r>
              <w:rPr>
                <w:sz w:val="22"/>
                <w:szCs w:val="22"/>
              </w:rPr>
              <w:t xml:space="preserve"> года,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2025</w:t>
            </w:r>
            <w:r>
              <w:rPr>
                <w:sz w:val="22"/>
                <w:szCs w:val="22"/>
              </w:rPr>
              <w:t xml:space="preserve"> года,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публичных торгов при реализации имущества государственными и муниципальными предприятиями, хозяйствующими субъектами, доля участия субъекта автономного округа или муниципального образования в которых составляет более 50%</w:t>
            </w:r>
            <w:r>
              <w:rPr>
                <w:strike/>
                <w:sz w:val="22"/>
                <w:szCs w:val="22"/>
              </w:rPr>
            </w:r>
            <w:r>
              <w:rPr>
                <w:strike/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комплекса мероприятий по организации и проведению публичных торгов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ежеквартальное предоставление информации о проведенных муниципальным образованием торгов в отношении недвижимого имущества, в том числе земельных участков в Казенное учреждение Ханты-Мансийского автономного округа - Югры «Центр имущественных отношений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bottom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недискриминационного доступа хозяйствующих субъектов на товарные рынки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устранение избыточного государственного и муниципального регулирования, снижение административных барьеров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данных о проведении управляющими компаниями работы с операторами связи по оформлению разрешительных и согласовательных документов на размещение инфраструктуры на жилых многоквартирных домах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данных о проведении управляющими компаниями работы с операторами связи по оформлению разрешительных и согласовательных документов на размещение инфраструктуры на жилых многоквартирных домах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урегулирование процесса согласования и размещения оборудования операторов мобильной и фиксированной связи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 посредством заключения к</w:t>
            </w:r>
            <w:r>
              <w:rPr>
                <w:sz w:val="22"/>
                <w:szCs w:val="22"/>
              </w:rPr>
              <w:t xml:space="preserve">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здравоохранение; социальное обслуживание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муниципальных объектов недвижимого имущества, включая не используемые по назначению, немуниципальным организациям с применением механизмов государственно-частного партнерства посредс</w:t>
            </w:r>
            <w:r>
              <w:rPr>
                <w:sz w:val="22"/>
                <w:szCs w:val="22"/>
              </w:rPr>
              <w:t xml:space="preserve">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района; 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 в социальной сфере (детский отдых и оздоровление, </w:t>
            </w:r>
            <w:r>
              <w:rPr>
                <w:sz w:val="22"/>
                <w:szCs w:val="22"/>
              </w:rPr>
              <w:t xml:space="preserve">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районах), а также в сфере теплоснабжения, водоснабжения и водоотведения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Применение механизмов государственно-частного партнерства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заключение концессионных соглашений в одной или нескольких из следующих сфер: детский отдых и оздоровление; спорт; здравоохранение; социальное обслуживание; дошкольное образование; общее образование; культура, теплоснабжение; водоснабжение; водоотведение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механизмов государственно-частного партнерства, заключение концессионных соглашений в одной или нескольких из следующих сфер: детский отдых и оздоровление; спорт; социальное обслуживание; дошкольное образование; культура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практики применения механизмов государственно-частного партнерства, заключения концессионных соглашений в социальной сфере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в управление частным операторам на основе концессионных соглашений объектов коммунального хозяйства муниципальных предприятий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конкуренции на рынке услуг коммунального хозяйства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консультационной поддержки, методологического содействия органам местного самоуправления,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консультационной поддержки, методологического содействия частным операторам,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компетенций органов местного самоуправления 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негосударственных (немуниципальных) социально ориентированных некоммерческих организаций и «социального предпринимательства»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</w:t>
            </w:r>
            <w:r>
              <w:rPr>
                <w:sz w:val="22"/>
                <w:szCs w:val="22"/>
              </w:rPr>
              <w:t xml:space="preserve">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реализация технических средств реабилитации для лиц с ограниченными возможностями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поддержк</w:t>
            </w:r>
            <w:r>
              <w:rPr>
                <w:sz w:val="22"/>
                <w:szCs w:val="22"/>
              </w:rPr>
              <w:t xml:space="preserve">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негосударственных (немуниципальных) социально ориентированных некоммерческих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конкурсного отбора на предоставление субсидии социально ориентированным некоммерческим организациям на оказание услуг (выполнение работ) в сфере образования, науки и молодежной политики, в том числе общественно полезных услуг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Проведение информационных кампаний для социально ориентированных некоммерческих организаций о порядке и условиях конкурсного отбора в целях стимулирования к оказанию услуги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 сфере образования.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Ежегодное проведение конкурсного отбора на предоставление субсидии социально ориентированным некоммерческим организациям на оказание услуг (выполнение работ) в сфере физической культуры и спорта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негосударственных (немуниципальных) социально ориентированных некоммерческих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конкурсов: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«Лучшая организация отдыха детей и их оздоровления Ханты-Мансийского автономного округа – Югры»;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 педагогических отрядов автономного округа на лучшую  организацию досуга детей, подростков и молодежи в каникулярный период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Ежегодное проведение муниципального этапа конкурса «Лучшая организация отдыха детей и их оздоровления Ханты-Мансийского автономного округа – Югры» и направление материалов победителей для участия в окружном этапе конкурса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конкурсного отбора на предоставление субсидии из бюджета авто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номного округа некоммерческим организациям, не являющимся государственными (муниципальными) учреждениями,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информационной кампании для некоммерческих организаций, не являющихся муниципальными учреждениями, о порядке и условиях конкурсного отбора в целях стимулирования  к оказанию услуги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психолого-педагогическому консультированию обучающихся, их родителей (законных представителей) и педагогических работников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развития конкуренций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Оказание содействия субъектам малого и среднего предпринимательства, осуществляющим социально значимые виды деятельности, определенные муниципальными образованиями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Систематическое предоставление необходимых информационных материалов, проведение консультаций с 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негосударственными (немуниципальными) организациям, осуществляющим социально значимые виды деятельности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новых предпринимательских инициатив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4788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</w:t>
            </w:r>
            <w:r>
              <w:rPr>
                <w:rFonts w:eastAsia="Calibri"/>
                <w:sz w:val="22"/>
                <w:szCs w:val="22"/>
              </w:rPr>
              <w:t xml:space="preserve">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развитию научной, творческой и предпринимательской активности детей и молодежи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Вовлечение детей и молодежи в различные мероприятия научной, творческой направленности.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повышение уровня информированности населения о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9.2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сети детских технопарков «Кванториум», включение детей и молодежи в реа</w:t>
            </w:r>
            <w:r>
              <w:rPr>
                <w:sz w:val="22"/>
                <w:szCs w:val="22"/>
              </w:rPr>
              <w:t xml:space="preserve">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автономного округа, в том числе развитие кружкового движения Национальной технологической инициативы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детей и молодежи в реа</w:t>
            </w:r>
            <w:r>
              <w:rPr>
                <w:sz w:val="22"/>
                <w:szCs w:val="22"/>
              </w:rPr>
              <w:t xml:space="preserve">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автономного округа, в том числе развитие кружкового движения Национальной технологической инициативы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и развитие центров молодежного инновационного творчества в муниципальных образованиях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материально-технической базы МКУ «Молодежный центр «Спутник» с целью развития инновационного технического мышления, начальных навыков инновационной деятельности у детей и молодежи – посетителей молодежных клубов учреждения.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Проведение с детьми и молодежью мероприятий, </w:t>
            </w:r>
            <w:r>
              <w:rPr>
                <w:sz w:val="22"/>
                <w:szCs w:val="22"/>
              </w:rPr>
              <w:t xml:space="preserve">направленных на проектную деятельность, на основании деловых игр, ТРИЗа (теория решения изобретательских задач), формирование высокого уровня инженерно-технической и информационно-технологической компетентности, начальных навыков инновационной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contextualSpacing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создание институциональной среды, способствующей внедрению инноваций и увеличению возможности молодежи автономного округа  в разработке и внедрению новых технологических решений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цифро</w:t>
            </w:r>
            <w:r>
              <w:rPr>
                <w:sz w:val="22"/>
                <w:szCs w:val="22"/>
              </w:rPr>
              <w:t xml:space="preserve">вой грамотности населения,</w:t>
            </w:r>
            <w:r>
              <w:rPr>
                <w:sz w:val="22"/>
                <w:szCs w:val="22"/>
              </w:rPr>
              <w:t xml:space="preserve"> муниципальных служащих и работников бюджетной сферы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Организация обучения государственных гражданских служащих по программе повышения квалификации «Цифровые технологии в государственном управлении»;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Организация обучения муниципальных служащих по программе повышения квалификации «Информационная политика и цифровые технологии в муниципальном управлении»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обучения муниципальных служащих, работников бюджетной сферы цифровой грамотности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цифровой грамотности муниципальных служащих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информационным ресурсам и защите информации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равных условий доступа к информации о государственном имуществе автономного округа и имуществе, находящемся в муниципальной собственности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в открытом доступе инфо</w:t>
            </w:r>
            <w:r>
              <w:rPr>
                <w:sz w:val="22"/>
                <w:szCs w:val="22"/>
              </w:rPr>
              <w:t xml:space="preserve">рмации о реализации государственного имущества автономного округа и имущества, находящегося в собственности муниципальных образований, а также ресурсов всех видов, находящихся в государственной собственности автономного округа и муниципальной собственности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размещение на официальном сайте органов местного самоуправления Белоярского района в информационно-телекоммуникационной сети «Интернет» отчета о результатах реализации плана приватизации муниципального имущества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равных условий доступа к информации о реализации имущества, находящегося в собственности муниципального образования, а также ресурсов всех видов, находящихся в муниципальной собственности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поддерживается в актуальном состоянии, ежегодно до 30 декабря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Опубликование и актуализация на едином официальном сайте государственных органов автономного округа и официальных сайтах</w:t>
            </w:r>
            <w:r>
              <w:rPr>
                <w:sz w:val="22"/>
                <w:szCs w:val="22"/>
              </w:rPr>
              <w:t xml:space="preserve"> органов местного самоуправления информации об объектах, находящихся в собственности, включая сведения об их наименованиях, местонахождении, характеристиках и целевом назначении, существующих ограничениях их использования и обременениях правами третьих лиц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Опубликование и актуализация на едином официальном сайте органов местного с</w:t>
            </w:r>
            <w:r>
              <w:rPr>
                <w:sz w:val="22"/>
                <w:szCs w:val="22"/>
              </w:rPr>
              <w:t xml:space="preserve">амоуправления Белоярского района информации об объектах, находящихся в собственности, включая сведения об их наименованиях, местонахождении, характеристиках и целевом назначении, существующих ограничениях их использования и обременениях правами третьих лиц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едином официальном сайте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</w:t>
            </w:r>
            <w:r>
              <w:rPr>
                <w:sz w:val="22"/>
                <w:szCs w:val="22"/>
              </w:rPr>
              <w:t xml:space="preserve">риятия по определению состава имущества, находящегося в муниципальной собственности, не используемого для реализации функций и полномочий органов местного самоуправления (п.5 распоряжения Правительства Российской Федерации от 2 сентября 2021 года № 2424-р)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планов-графиков инвентаризации муниципального имущества, в том числе закрепленного за предприятиями, учреждениями на текущий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план-график полной инвентаризации муниципального имущества, в том числе закрепленного за предприятиями, учреждениями на текущий год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февраля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2025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февраля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2024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2025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</w:t>
            </w:r>
            <w:r>
              <w:rPr>
                <w:sz w:val="22"/>
                <w:szCs w:val="22"/>
              </w:rPr>
              <w:t xml:space="preserve">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 (п.5 распоряжения Правительства Российской Федерации от 2 сентября 2021 года № 2424-р)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неиспользуемого муниципального имущества в программу приватизации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неиспользуемого муниципального имущества в программу приватизации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имущества в прогнозный план приватизации имущества муниципального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2024</w:t>
            </w:r>
            <w:r>
              <w:rPr>
                <w:sz w:val="22"/>
                <w:szCs w:val="22"/>
              </w:rPr>
              <w:t xml:space="preserve"> года,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2025</w:t>
            </w:r>
            <w:r>
              <w:rPr>
                <w:sz w:val="22"/>
                <w:szCs w:val="22"/>
              </w:rPr>
              <w:t xml:space="preserve"> года,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декабря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торгов по реализации государственного имущества автономного округа и имущества муниципальных образований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торгов по реализации муниципального имущества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69"/>
              <w:ind w:firstLine="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приватизация государственного имущества, не используемого для реализации функций и полномочий 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марта 2025 года,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марта 2026 года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</w:trPr>
        <w:tc>
          <w:tcPr>
            <w:gridSpan w:val="6"/>
            <w:tcBorders>
              <w:top w:val="single" w:color="000000" w:sz="4" w:space="0"/>
              <w:bottom w:val="single" w:color="FFFFFF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III. Создание и реализация механизмов общественного контроля за деятельностью субъектов естественных монополий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письменных ответов на полученное мнение потребителей, предпринимателей и экспертов, задействованных в </w:t>
            </w:r>
            <w:r>
              <w:rPr>
                <w:sz w:val="22"/>
                <w:szCs w:val="22"/>
              </w:rPr>
              <w:t xml:space="preserve">рамках общественного контроля деятельности</w:t>
            </w:r>
            <w:r>
              <w:rPr>
                <w:sz w:val="22"/>
                <w:szCs w:val="22"/>
              </w:rPr>
              <w:t xml:space="preserve"> субъектов естес</w:t>
            </w:r>
            <w:r>
              <w:rPr>
                <w:sz w:val="22"/>
                <w:szCs w:val="22"/>
              </w:rPr>
              <w:t xml:space="preserve">твенных монополий (далее - участники общественного контроля). Обеспечение обязательного получения и учета обоснованного мнения потребителей товаров и услуг субъектов естественных монополий, предпринимателей и экспертов при осуществлении следующих процедур: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согласовании и утверждении схем территориального планирования автономного округа и муниципальных районов, генеральных планов поселений и городских округов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и утверждение схем территориального планирования Белоярского района, генеральных планов поселений с учетом письменных мотивированных предложений заинтересованных лиц, а также публичных слушаний по проектам генеральных планов поселений  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spacing w:after="20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и реализация механизмов общественного контроля за деятельностью субъектов естественных монополий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500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 xml:space="preserve">IV. Организационные мероприятия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взаимодействия между исполнитель</w:t>
            </w:r>
            <w:r>
              <w:rPr>
                <w:sz w:val="22"/>
                <w:szCs w:val="22"/>
              </w:rPr>
              <w:t xml:space="preserve">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</w:t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соглашения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соглашения между исполнитель</w:t>
            </w:r>
            <w:r>
              <w:rPr>
                <w:sz w:val="22"/>
                <w:szCs w:val="22"/>
              </w:rPr>
              <w:t xml:space="preserve">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экономики, реформ и программ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в сети Интернет информации о состоянии конкурентной среды и деятельности по содействию развитию конкуренции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в сети Интернет информации о состоянии конкурентной среды и деятельности по содействию развитию конкуренции на территории Белоярского района </w:t>
            </w:r>
            <w:r>
              <w:rPr>
                <w:sz w:val="22"/>
                <w:szCs w:val="22"/>
              </w:rPr>
            </w:r>
          </w:p>
        </w:tc>
        <w:tc>
          <w:tcPr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</w:p>
        </w:tc>
        <w:tc>
          <w:tcPr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экономики, реформ и программ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2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486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</w:t>
            </w:r>
            <w:r>
              <w:rPr>
                <w:sz w:val="22"/>
                <w:szCs w:val="22"/>
              </w:rPr>
              <w:t xml:space="preserve">ечение внедрения лучших региональных практик содействия развитию конкуренции,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43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</w:t>
            </w:r>
            <w:r>
              <w:rPr>
                <w:sz w:val="22"/>
                <w:szCs w:val="22"/>
              </w:rPr>
              <w:t xml:space="preserve">ечение внедрения лучших региональных практик содействия развитию конкуренции,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конкуренции на рынках товаров и услуг </w:t>
            </w:r>
            <w:r>
              <w:rPr>
                <w:sz w:val="22"/>
                <w:szCs w:val="22"/>
              </w:rPr>
              <w:t xml:space="preserve">на территории Белоярского района и </w:t>
            </w:r>
            <w:r>
              <w:rPr>
                <w:sz w:val="22"/>
                <w:szCs w:val="22"/>
              </w:rPr>
              <w:t xml:space="preserve">автономного округа</w:t>
            </w:r>
            <w:r>
              <w:rPr>
                <w:sz w:val="22"/>
                <w:szCs w:val="22"/>
              </w:rPr>
              <w:t xml:space="preserve"> в целом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2024-2026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630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7"/>
        <w:ind w:left="108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rPr>
          <w:b/>
          <w:sz w:val="24"/>
          <w:szCs w:val="24"/>
        </w:rPr>
        <w:sectPr>
          <w:footnotePr/>
          <w:endnotePr/>
          <w:type w:val="nextPage"/>
          <w:pgSz w:w="16838" w:h="11906" w:orient="landscape"/>
          <w:pgMar w:top="1077" w:right="1259" w:bottom="851" w:left="1440" w:header="720" w:footer="720" w:gutter="0"/>
          <w:cols w:num="1" w:sep="0" w:space="720" w:equalWidth="1"/>
          <w:docGrid w:linePitch="360"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Проведение мониторинга состояния и развития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конкуренции</w:t>
      </w:r>
      <w:r>
        <w:rPr>
          <w:b/>
          <w:sz w:val="24"/>
          <w:szCs w:val="24"/>
        </w:rPr>
        <w:t xml:space="preserve"> на товарных рынках </w:t>
      </w:r>
      <w:r>
        <w:rPr>
          <w:b/>
          <w:sz w:val="24"/>
          <w:szCs w:val="24"/>
        </w:rPr>
      </w:r>
    </w:p>
    <w:p>
      <w:pPr>
        <w:pStyle w:val="657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содействия развитию конкуренции на территории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2409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</w:t>
            </w:r>
            <w:r>
              <w:rPr>
                <w:b/>
                <w:sz w:val="22"/>
                <w:szCs w:val="22"/>
                <w:lang w:val="en-US"/>
              </w:rPr>
            </w:r>
          </w:p>
          <w:p>
            <w:pPr>
              <w:pStyle w:val="6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Составляющие мониторинга развития конкуренции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15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результатах рассмотрения обращений предпринимателей с жалобами об устранении административных барьеров (удалось или не удалось отстоять свои права)</w:t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июля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года,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июля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2715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</w:t>
            </w:r>
            <w:r>
              <w:rPr>
                <w:sz w:val="22"/>
                <w:szCs w:val="22"/>
              </w:rPr>
              <w:t xml:space="preserve">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наличии (отсутствии) возможности н</w:t>
            </w:r>
            <w:r>
              <w:rPr>
                <w:sz w:val="22"/>
                <w:szCs w:val="22"/>
              </w:rPr>
              <w:t xml:space="preserve">едискриминационного доступа на товарные рынки автономного округа и на товарные рынки приграничных субъектов Российской Федерации (Красноярский край, Республика Коми, Томская область, Свердловская область, Тюменская область, Ямало-Ненецкий автономный округ)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июля 2025</w:t>
            </w:r>
            <w:r>
              <w:rPr>
                <w:sz w:val="22"/>
                <w:szCs w:val="22"/>
              </w:rPr>
              <w:t xml:space="preserve"> года,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июля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15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экономики, реформ и программ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о хозяйствующих субъектах, доля участия автономного округа или муниципального образования в которых составляет 50</w:t>
            </w:r>
            <w:r>
              <w:rPr>
                <w:sz w:val="22"/>
                <w:szCs w:val="22"/>
              </w:rPr>
              <w:t xml:space="preserve"> и более процентов (заполнение формы с указанием объема выручки, объема реализованных на рынке товаров, работ и услуг в натуральном выражении, объема финансирования из бюджета автономного округа и бюджетов муниципальных образований) посредством автоматизир</w:t>
            </w:r>
            <w:r>
              <w:rPr>
                <w:sz w:val="22"/>
                <w:szCs w:val="22"/>
              </w:rPr>
              <w:t xml:space="preserve">ованной информационной системы «Мониторинг Югра»</w:t>
            </w:r>
            <w:r>
              <w:rPr>
                <w:sz w:val="22"/>
                <w:szCs w:val="22"/>
              </w:rPr>
              <w:t xml:space="preserve"> модуля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Мон</w:t>
            </w:r>
            <w:r>
              <w:rPr>
                <w:sz w:val="22"/>
                <w:szCs w:val="22"/>
              </w:rPr>
              <w:t xml:space="preserve">иторинг хозяйствующих субъектов»</w:t>
            </w:r>
            <w:r>
              <w:rPr>
                <w:sz w:val="22"/>
                <w:szCs w:val="22"/>
              </w:rPr>
              <w:t xml:space="preserve"> (https://lk-monitoring.admhmao.ru)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июня 2025</w:t>
            </w:r>
            <w:r>
              <w:rPr>
                <w:sz w:val="22"/>
                <w:szCs w:val="22"/>
              </w:rPr>
              <w:t xml:space="preserve"> года,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июня 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15" w:type="dxa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экономики, реформ и программ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7"/>
        <w:ind w:left="-142"/>
        <w:jc w:val="center"/>
        <w:rPr>
          <w:b/>
          <w:sz w:val="24"/>
          <w:szCs w:val="24"/>
        </w:rPr>
        <w:sectPr>
          <w:footnotePr/>
          <w:endnotePr/>
          <w:type w:val="nextPage"/>
          <w:pgSz w:w="11906" w:h="16838" w:orient="portrait"/>
          <w:pgMar w:top="1259" w:right="851" w:bottom="1440" w:left="1077" w:header="720" w:footer="720" w:gutter="0"/>
          <w:cols w:num="1" w:sep="0" w:space="720" w:equalWidth="1"/>
          <w:docGrid w:linePitch="360"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ПРИЛОЖЕНИЕ</w:t>
      </w:r>
      <w:r>
        <w:rPr>
          <w:szCs w:val="24"/>
        </w:rPr>
        <w:t xml:space="preserve"> 2</w:t>
      </w:r>
      <w:r>
        <w:rPr>
          <w:szCs w:val="24"/>
        </w:rPr>
        <w:t xml:space="preserve"> </w:t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к распоряжению администрации</w:t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  <w:t xml:space="preserve">Белоярского </w:t>
      </w:r>
      <w:r>
        <w:rPr>
          <w:szCs w:val="24"/>
        </w:rPr>
        <w:t xml:space="preserve">района</w:t>
      </w:r>
      <w:r>
        <w:rPr>
          <w:szCs w:val="24"/>
        </w:rPr>
      </w:r>
    </w:p>
    <w:p>
      <w:pPr>
        <w:pStyle w:val="667"/>
        <w:ind w:firstLine="10632"/>
        <w:jc w:val="lef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30 августа</w:t>
      </w:r>
      <w:r>
        <w:rPr>
          <w:szCs w:val="24"/>
        </w:rPr>
        <w:t xml:space="preserve"> </w:t>
      </w:r>
      <w:r>
        <w:rPr>
          <w:szCs w:val="24"/>
        </w:rPr>
        <w:t xml:space="preserve">2024</w:t>
      </w:r>
      <w:r>
        <w:rPr>
          <w:szCs w:val="24"/>
        </w:rPr>
        <w:t xml:space="preserve"> года №</w:t>
      </w:r>
      <w:r>
        <w:rPr>
          <w:szCs w:val="24"/>
        </w:rPr>
        <w:t xml:space="preserve"> 154</w:t>
      </w:r>
      <w:r>
        <w:rPr>
          <w:szCs w:val="24"/>
        </w:rPr>
        <w:t xml:space="preserve">-р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667"/>
        <w:ind w:firstLine="1063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7"/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p>
      <w:pPr>
        <w:pStyle w:val="657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К Л Ю Ч Е В Ы 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</w:r>
    </w:p>
    <w:p>
      <w:pPr>
        <w:pStyle w:val="657"/>
        <w:jc w:val="center"/>
        <w:widowControl w:val="off"/>
        <w:rPr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р</w:t>
      </w:r>
      <w:r>
        <w:rPr>
          <w:b/>
          <w:sz w:val="24"/>
          <w:szCs w:val="24"/>
        </w:rPr>
        <w:t xml:space="preserve">азвития конкуренции в </w:t>
      </w:r>
      <w:r>
        <w:rPr>
          <w:b/>
          <w:sz w:val="24"/>
          <w:szCs w:val="24"/>
        </w:rPr>
        <w:t xml:space="preserve">отдельных </w:t>
      </w:r>
      <w:r>
        <w:rPr>
          <w:b/>
          <w:sz w:val="24"/>
          <w:szCs w:val="24"/>
        </w:rPr>
        <w:t xml:space="preserve">отраслях экономики на терри</w:t>
      </w:r>
      <w:r>
        <w:rPr>
          <w:b/>
          <w:sz w:val="24"/>
          <w:szCs w:val="24"/>
        </w:rPr>
        <w:t xml:space="preserve">тории Белоярского района на 2024 – 2026</w:t>
      </w:r>
      <w:r>
        <w:rPr>
          <w:b/>
          <w:sz w:val="24"/>
          <w:szCs w:val="24"/>
        </w:rPr>
        <w:t xml:space="preserve"> годы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7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474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7"/>
        <w:gridCol w:w="5594"/>
        <w:gridCol w:w="960"/>
        <w:gridCol w:w="844"/>
        <w:gridCol w:w="784"/>
        <w:gridCol w:w="849"/>
        <w:gridCol w:w="3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"/>
          <w:tblHeader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 п/п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ключевого показателя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 изм.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</w:t>
            </w:r>
            <w:r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Ответственный исполнитель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2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Рынок обработки древесины и производства изделий из дерева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обработки древесины и производства изделий из дерева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2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Рынок добычи общераспространенных полезных ископаемых на участках недр местного 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купли-продажи электроэнергии (мощности) на розничном рынке электрической энергии (мощности)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теплоснабжения (производства тепловой энергии)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теплоснабжения (производство тепловой энергии)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</w:t>
            </w:r>
            <w:r>
              <w:rPr>
                <w:sz w:val="22"/>
                <w:szCs w:val="22"/>
              </w:rPr>
              <w:t xml:space="preserve">услуг по сбору и транспортированию твердых коммунальных отходов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услуг по сбору и транспортированию твердых коммунальных отходов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center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жилищного строительства (за исключением индивидуального жилищного строительства)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жилищного строительства (за исключением индивидуального жилищного строительства)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строительства объектов капитального строительства (за исключением жилищного и дорожного строительства)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дорожной деятельности (за исключением проектирования)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дорожной деятельности (за исключением проектирования)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архитектурно-строительного проектирования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архитектурно-строительного проектирования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кадастровых и землеустроительных работ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кадастровых и землеустроительных работ 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вылова водных биоресурсов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вылова водных биоресурсов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дошкольного образования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</w:t>
            </w:r>
            <w:r>
              <w:rPr>
                <w:sz w:val="22"/>
                <w:szCs w:val="22"/>
              </w:rPr>
              <w:t xml:space="preserve">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12.2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Консультации представителей </w:t>
            </w:r>
            <w:r>
              <w:rPr>
                <w:sz w:val="22"/>
                <w:szCs w:val="22"/>
              </w:rPr>
              <w:t xml:space="preserve">част</w:t>
            </w:r>
            <w:r>
              <w:rPr>
                <w:sz w:val="22"/>
                <w:szCs w:val="22"/>
              </w:rPr>
              <w:t xml:space="preserve">ных образовательных организаций, </w:t>
            </w:r>
            <w:r>
              <w:rPr>
                <w:sz w:val="22"/>
                <w:szCs w:val="22"/>
              </w:rPr>
              <w:t xml:space="preserve">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общего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273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начального </w:t>
            </w:r>
            <w:r>
              <w:rPr>
                <w:sz w:val="22"/>
                <w:szCs w:val="22"/>
              </w:rPr>
              <w:t xml:space="preserve">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13.2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организаций частной формы собственности, индивидуальных предпринимателей, оказывающих дополнительные услуги по общеобразовательным программам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дополнительного образования детей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услуг дополнительного образования детей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района; Комитет по делам молодежи, физической культуре и спорту администрации Белоярского района; комитет по культуре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2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отдыха и оздоровления детей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отдыха и оздоровления детей частной формы собственности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психолого-педагогического сопровождения детей с ограниченными возможностями здоровья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розничной торговли лекарственными препаратами, медицинскими изделиями и сопутствующими товарами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 (расчет по количеству действующих точек продаж аптечных организаций)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благоустройства городской среды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выполнения работ по благоустройству городской среды 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района; управление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  <w:outlineLvl w:val="2"/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tabs>
                <w:tab w:val="left" w:pos="16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связи по предоставлению широкополосного доступа к сети Интернет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Интернет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информационным ресурсам и защите информации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социальных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негосударственных организаций социального обслуживания, предоставляющих социальные услуги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района;</w:t>
            </w:r>
            <w:r>
              <w:rPr>
                <w:sz w:val="22"/>
                <w:szCs w:val="22"/>
              </w:rPr>
            </w:r>
          </w:p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ритуальных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ритуальных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ремонту автотранспортных средств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оказания услуг по ремонту автотранспортных средств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нефтепродуктов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нефтепродуктов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Сфера наружной рекламы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наружной рекламы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Белоярского района; управление по архитектуре и градостроительству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легкой промышленности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легкой промышленности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в сфере физической культуры и спорта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в сфере физической культуры и спорта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в сфере культуры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числа посещении организации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248223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255290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294060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туристических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размещенных в коллективных средствах размещения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сбора и заготовки пищевых лесных ресурсов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32.2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tabs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сбора и заготовки пищевых лесных ресурсов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племенного животноводства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организаций всех форм собственности, занимающихся разведением племенных животных крупного рогатого скота, в том числе с использованием искусственного осеменения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единиц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реализации сельскохозяйственной продукции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субъектов малого и среднего предпринимательства в сфере агропромышленного комплекса, получивших поддержку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производства бетона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производства бетона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капитального строительства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переработки водных биоресурсов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переработки водных биоресурсов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медицинских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рынках медицинских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оказания услуг по перевозке пассажиров и багажа легковым такси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оказания услуг по перевозке пассажиров и багажа легковым такси на территории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производства хлеба и хлебобулочных изделий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рынке производства хлеба и хлебобулочных изделий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водного транспорта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собственности, осуществляющих деятельность по перевозке пассажиров и багажа водным транспортом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продовольственных и непродовольственных товаров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собственности, осуществляющих услуги торговли для обеспечения труднодоступных и отдаленных поселений Белоярского района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офтальмологических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собственности, оказывающих услуги на рынке офтальмологических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66,6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66,6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66,6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4798" w:type="pct"/>
            <w:vAlign w:val="top"/>
            <w:textDirection w:val="lrTb"/>
            <w:noWrap w:val="false"/>
          </w:tcPr>
          <w:p>
            <w:pPr>
              <w:pStyle w:val="6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консалтинговых услуг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43.1</w:t>
            </w:r>
            <w:r>
              <w:rPr>
                <w:sz w:val="22"/>
                <w:szCs w:val="22"/>
              </w:rPr>
            </w:r>
          </w:p>
        </w:tc>
        <w:tc>
          <w:tcPr>
            <w:tcW w:w="2068" w:type="pct"/>
            <w:vAlign w:val="top"/>
            <w:textDirection w:val="lrTb"/>
            <w:noWrap w:val="false"/>
          </w:tcPr>
          <w:p>
            <w:pPr>
              <w:pStyle w:val="6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консалтинговых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355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290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314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tcW w:w="1459" w:type="pct"/>
            <w:vAlign w:val="top"/>
            <w:textDirection w:val="lrTb"/>
            <w:noWrap w:val="false"/>
          </w:tcPr>
          <w:p>
            <w:pPr>
              <w:pStyle w:val="6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7"/>
        <w:jc w:val="center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57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_____________</w:t>
      </w:r>
      <w:r>
        <w:rPr>
          <w:b/>
          <w:sz w:val="24"/>
          <w:szCs w:val="24"/>
        </w:rPr>
      </w:r>
    </w:p>
    <w:sectPr>
      <w:footnotePr/>
      <w:endnotePr/>
      <w:type w:val="nextPage"/>
      <w:pgSz w:w="16838" w:h="11906" w:orient="landscape"/>
      <w:pgMar w:top="1077" w:right="1259" w:bottom="851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</w:rPr>
      <w:t xml:space="preserve">21</w:t>
    </w:r>
    <w:r>
      <w:rPr>
        <w:szCs w:val="24"/>
      </w:rPr>
      <w:fldChar w:fldCharType="end"/>
    </w:r>
    <w:r>
      <w:rPr>
        <w:szCs w:val="24"/>
      </w:rPr>
    </w:r>
    <w:r>
      <w:rPr>
        <w:szCs w:val="24"/>
      </w:rPr>
    </w:r>
  </w:p>
  <w:p>
    <w:pPr>
      <w:pStyle w:val="6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185" w:hanging="48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5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next w:val="657"/>
    <w:link w:val="657"/>
    <w:qFormat/>
    <w:rPr>
      <w:lang w:val="ru-RU" w:eastAsia="ru-RU" w:bidi="ar-SA"/>
    </w:rPr>
  </w:style>
  <w:style w:type="paragraph" w:styleId="658">
    <w:name w:val="Заголовок 1"/>
    <w:basedOn w:val="657"/>
    <w:next w:val="657"/>
    <w:link w:val="657"/>
    <w:qFormat/>
    <w:pPr>
      <w:jc w:val="center"/>
      <w:keepNext/>
      <w:outlineLvl w:val="0"/>
    </w:pPr>
    <w:rPr>
      <w:b/>
      <w:sz w:val="28"/>
    </w:rPr>
  </w:style>
  <w:style w:type="paragraph" w:styleId="659">
    <w:name w:val="Заголовок 2"/>
    <w:basedOn w:val="657"/>
    <w:next w:val="657"/>
    <w:link w:val="657"/>
    <w:qFormat/>
    <w:pPr>
      <w:jc w:val="center"/>
      <w:keepNext/>
      <w:outlineLvl w:val="1"/>
    </w:pPr>
    <w:rPr>
      <w:b/>
      <w:sz w:val="24"/>
    </w:rPr>
  </w:style>
  <w:style w:type="paragraph" w:styleId="660">
    <w:name w:val="Заголовок 3"/>
    <w:basedOn w:val="657"/>
    <w:next w:val="657"/>
    <w:link w:val="657"/>
    <w:qFormat/>
    <w:pPr>
      <w:jc w:val="center"/>
      <w:keepNext/>
      <w:outlineLvl w:val="2"/>
    </w:pPr>
    <w:rPr>
      <w:sz w:val="28"/>
    </w:rPr>
  </w:style>
  <w:style w:type="character" w:styleId="661">
    <w:name w:val="Основной шрифт абзаца, Знак Знак"/>
    <w:next w:val="661"/>
    <w:link w:val="657"/>
    <w:semiHidden/>
  </w:style>
  <w:style w:type="table" w:styleId="662">
    <w:name w:val="Обычная таблица"/>
    <w:next w:val="662"/>
    <w:link w:val="657"/>
    <w:semiHidden/>
    <w:tblPr/>
  </w:style>
  <w:style w:type="numbering" w:styleId="663">
    <w:name w:val="Нет списка"/>
    <w:next w:val="663"/>
    <w:link w:val="657"/>
    <w:semiHidden/>
  </w:style>
  <w:style w:type="paragraph" w:styleId="664">
    <w:name w:val="Верхний колонтитул"/>
    <w:basedOn w:val="657"/>
    <w:next w:val="664"/>
    <w:link w:val="677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665">
    <w:name w:val="Номер страницы"/>
    <w:basedOn w:val="661"/>
    <w:next w:val="665"/>
    <w:link w:val="657"/>
  </w:style>
  <w:style w:type="paragraph" w:styleId="666">
    <w:name w:val="Нижний колонтитул"/>
    <w:basedOn w:val="657"/>
    <w:next w:val="666"/>
    <w:link w:val="657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67">
    <w:name w:val="Основной текст с отступом 3"/>
    <w:basedOn w:val="657"/>
    <w:next w:val="667"/>
    <w:link w:val="680"/>
    <w:pPr>
      <w:jc w:val="center"/>
    </w:pPr>
    <w:rPr>
      <w:sz w:val="24"/>
    </w:rPr>
  </w:style>
  <w:style w:type="paragraph" w:styleId="668">
    <w:name w:val="Текст выноски"/>
    <w:basedOn w:val="657"/>
    <w:next w:val="668"/>
    <w:link w:val="657"/>
    <w:semiHidden/>
    <w:rPr>
      <w:rFonts w:ascii="Tahoma" w:hAnsi="Tahoma" w:cs="Tahoma"/>
      <w:sz w:val="16"/>
      <w:szCs w:val="16"/>
    </w:rPr>
  </w:style>
  <w:style w:type="paragraph" w:styleId="669">
    <w:name w:val="ConsPlusNormal"/>
    <w:next w:val="669"/>
    <w:link w:val="687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0">
    <w:name w:val="ConsPlusTitle"/>
    <w:next w:val="670"/>
    <w:link w:val="65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1">
    <w:name w:val="ConsPlusNonformat"/>
    <w:next w:val="671"/>
    <w:link w:val="65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2">
    <w:name w:val="ConsPlusCell"/>
    <w:next w:val="672"/>
    <w:link w:val="657"/>
    <w:pPr>
      <w:widowControl w:val="off"/>
    </w:pPr>
    <w:rPr>
      <w:rFonts w:ascii="Arial" w:hAnsi="Arial" w:cs="Arial"/>
      <w:lang w:val="ru-RU" w:eastAsia="ru-RU" w:bidi="ar-SA"/>
    </w:rPr>
  </w:style>
  <w:style w:type="table" w:styleId="673">
    <w:name w:val="Сетка таблицы"/>
    <w:basedOn w:val="662"/>
    <w:next w:val="673"/>
    <w:link w:val="657"/>
    <w:tblPr/>
  </w:style>
  <w:style w:type="paragraph" w:styleId="674">
    <w:name w:val="UserStyle_7"/>
    <w:basedOn w:val="657"/>
    <w:next w:val="674"/>
    <w:link w:val="657"/>
    <w:pPr>
      <w:spacing w:after="160" w:line="240" w:lineRule="exact"/>
    </w:pPr>
    <w:rPr>
      <w:rFonts w:ascii="Verdana" w:hAnsi="Verdana"/>
      <w:lang w:val="en-US" w:eastAsia="en-US"/>
    </w:rPr>
  </w:style>
  <w:style w:type="paragraph" w:styleId="675">
    <w:name w:val="Стандартный HTML"/>
    <w:basedOn w:val="657"/>
    <w:next w:val="675"/>
    <w:link w:val="65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676">
    <w:name w:val="Гиперссылка"/>
    <w:next w:val="676"/>
    <w:link w:val="657"/>
    <w:uiPriority w:val="99"/>
    <w:unhideWhenUsed/>
    <w:rPr>
      <w:color w:val="0000ff"/>
      <w:u w:val="single"/>
    </w:rPr>
  </w:style>
  <w:style w:type="character" w:styleId="677">
    <w:name w:val="Верхний колонтитул Знак"/>
    <w:next w:val="677"/>
    <w:link w:val="664"/>
    <w:uiPriority w:val="99"/>
    <w:rPr>
      <w:sz w:val="24"/>
    </w:rPr>
  </w:style>
  <w:style w:type="numbering" w:styleId="678">
    <w:name w:val="Нет списка1"/>
    <w:next w:val="663"/>
    <w:link w:val="657"/>
    <w:uiPriority w:val="99"/>
    <w:semiHidden/>
    <w:unhideWhenUsed/>
  </w:style>
  <w:style w:type="paragraph" w:styleId="679">
    <w:name w:val="ConsPlusTitlePage"/>
    <w:next w:val="679"/>
    <w:link w:val="657"/>
    <w:pPr>
      <w:widowControl w:val="off"/>
    </w:pPr>
    <w:rPr>
      <w:rFonts w:ascii="Tahoma" w:hAnsi="Tahoma" w:cs="Tahoma"/>
      <w:lang w:val="ru-RU" w:eastAsia="ru-RU" w:bidi="ar-SA"/>
    </w:rPr>
  </w:style>
  <w:style w:type="character" w:styleId="680">
    <w:name w:val="Основной текст с отступом 3 Знак"/>
    <w:next w:val="680"/>
    <w:link w:val="667"/>
    <w:rPr>
      <w:sz w:val="24"/>
    </w:rPr>
  </w:style>
  <w:style w:type="paragraph" w:styleId="681">
    <w:name w:val="Без интервала"/>
    <w:next w:val="681"/>
    <w:link w:val="657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682">
    <w:name w:val="Знак примечания"/>
    <w:next w:val="682"/>
    <w:link w:val="657"/>
    <w:rPr>
      <w:sz w:val="16"/>
      <w:szCs w:val="16"/>
    </w:rPr>
  </w:style>
  <w:style w:type="paragraph" w:styleId="683">
    <w:name w:val="Текст примечания"/>
    <w:basedOn w:val="657"/>
    <w:next w:val="683"/>
    <w:link w:val="684"/>
  </w:style>
  <w:style w:type="character" w:styleId="684">
    <w:name w:val="Текст примечания Знак"/>
    <w:basedOn w:val="661"/>
    <w:next w:val="684"/>
    <w:link w:val="683"/>
  </w:style>
  <w:style w:type="paragraph" w:styleId="685">
    <w:name w:val="Тема примечания"/>
    <w:basedOn w:val="683"/>
    <w:next w:val="683"/>
    <w:link w:val="686"/>
    <w:rPr>
      <w:b/>
      <w:bCs/>
    </w:rPr>
  </w:style>
  <w:style w:type="character" w:styleId="686">
    <w:name w:val="Тема примечания Знак"/>
    <w:next w:val="686"/>
    <w:link w:val="685"/>
    <w:rPr>
      <w:b/>
      <w:bCs/>
    </w:rPr>
  </w:style>
  <w:style w:type="character" w:styleId="687">
    <w:name w:val="ConsPlusNormal Знак"/>
    <w:next w:val="687"/>
    <w:link w:val="669"/>
    <w:rPr>
      <w:rFonts w:ascii="Arial" w:hAnsi="Arial" w:cs="Arial"/>
    </w:rPr>
  </w:style>
  <w:style w:type="character" w:styleId="13560" w:default="1">
    <w:name w:val="Default Paragraph Font"/>
    <w:uiPriority w:val="1"/>
    <w:semiHidden/>
    <w:unhideWhenUsed/>
  </w:style>
  <w:style w:type="numbering" w:styleId="13561" w:default="1">
    <w:name w:val="No List"/>
    <w:uiPriority w:val="99"/>
    <w:semiHidden/>
    <w:unhideWhenUsed/>
  </w:style>
  <w:style w:type="table" w:styleId="135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PletnyovaTV</cp:lastModifiedBy>
  <cp:revision>21</cp:revision>
  <dcterms:created xsi:type="dcterms:W3CDTF">2024-09-02T12:10:00Z</dcterms:created>
  <dcterms:modified xsi:type="dcterms:W3CDTF">2025-09-29T10:22:20Z</dcterms:modified>
  <cp:version>983040</cp:version>
</cp:coreProperties>
</file>