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Ъ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отбора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предоставление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 в форме 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Пор</w:t>
      </w:r>
      <w:r>
        <w:rPr>
          <w:rFonts w:ascii="Times New Roman" w:hAnsi="Times New Roman" w:cs="Times New Roman"/>
          <w:sz w:val="24"/>
          <w:szCs w:val="24"/>
        </w:rPr>
        <w:t xml:space="preserve">ядком предоставления субсидии на обустройство земельных участков территорий традиционного природопользования, лесных участков, предназначенных для ведения традиционной хозяйственной деятельности, утвержденным постановлением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12.11.2024 № 731 (далее – Порядок)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тбора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.2026</w:t>
      </w:r>
      <w:r>
        <w:rPr>
          <w:rFonts w:ascii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ата начала подачи </w:t>
      </w:r>
      <w:r>
        <w:rPr>
          <w:rFonts w:ascii="Times New Roman" w:hAnsi="Times New Roman" w:cs="Times New Roman"/>
          <w:sz w:val="24"/>
          <w:szCs w:val="24"/>
        </w:rPr>
        <w:t xml:space="preserve">и окончания приема </w:t>
      </w:r>
      <w:r>
        <w:rPr>
          <w:rFonts w:ascii="Times New Roman" w:hAnsi="Times New Roman" w:cs="Times New Roman"/>
          <w:sz w:val="24"/>
          <w:szCs w:val="24"/>
        </w:rPr>
        <w:t xml:space="preserve">заявок участников отбора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.0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.2026</w:t>
      </w:r>
      <w:r>
        <w:rPr>
          <w:rFonts w:ascii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hAnsi="Times New Roman" w:cs="Times New Roman"/>
          <w:sz w:val="24"/>
          <w:szCs w:val="24"/>
        </w:rPr>
        <w:t xml:space="preserve">1.0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.2026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аименование, место нахождения, почтовый адрес, адрес электронной почты главного распорядителя бюджетных средств</w:t>
      </w:r>
      <w:r>
        <w:rPr>
          <w:rFonts w:ascii="Times New Roman" w:hAnsi="Times New Roman" w:cs="Times New Roman"/>
          <w:sz w:val="24"/>
          <w:szCs w:val="24"/>
        </w:rPr>
        <w:t xml:space="preserve">: администрация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628162, Ханты-Мансийский автономный округ – Югра, г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Белоярский, ул.Центральная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д.</w:t>
      </w:r>
      <w:r>
        <w:rPr>
          <w:rFonts w:ascii="Times New Roman" w:hAnsi="Times New Roman" w:cs="Times New Roman"/>
          <w:sz w:val="24"/>
          <w:szCs w:val="24"/>
        </w:rPr>
        <w:t xml:space="preserve"> 9, </w:t>
      </w:r>
      <w:hyperlink r:id="rId9" w:tooltip="mailto:admbel@admbel.ru" w:history="1">
        <w:r>
          <w:rPr>
            <w:rStyle w:val="838"/>
            <w:rFonts w:ascii="Times New Roman" w:hAnsi="Times New Roman" w:cs="Times New Roman"/>
            <w:sz w:val="24"/>
            <w:szCs w:val="24"/>
            <w:lang w:val="en-US"/>
          </w:rPr>
          <w:t xml:space="preserve">admbel</w:t>
        </w:r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38"/>
            <w:rFonts w:ascii="Times New Roman" w:hAnsi="Times New Roman" w:cs="Times New Roman"/>
            <w:sz w:val="24"/>
            <w:szCs w:val="24"/>
            <w:lang w:val="en-US"/>
          </w:rPr>
          <w:t xml:space="preserve">admbel</w:t>
        </w:r>
        <w:r>
          <w:rPr>
            <w:rStyle w:val="838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38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(результаты)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субсидии: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 xml:space="preserve">езультатом предоставления субсидии является приобретение получателем одного или нескольких видов материально-технических средст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на дату подачи заявки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пилорама – 1 единица;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квадроцикл – 1 единица;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7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бензопила – 1 единица.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участник</w:t>
      </w:r>
      <w:r>
        <w:rPr>
          <w:rFonts w:ascii="Times New Roman" w:hAnsi="Times New Roman" w:cs="Times New Roman"/>
          <w:sz w:val="24"/>
          <w:szCs w:val="24"/>
        </w:rPr>
        <w:t xml:space="preserve">ам отбора в соответствии с Порядком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не является иностранным юридическим лицом, в том числе м</w:t>
      </w:r>
      <w:r>
        <w:rPr>
          <w:rFonts w:ascii="Times New Roman" w:hAnsi="Times New Roman" w:cs="Times New Roman"/>
          <w:sz w:val="24"/>
          <w:szCs w:val="24"/>
        </w:rPr>
        <w:t xml:space="preserve">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</w:t>
      </w:r>
      <w:r>
        <w:rPr>
          <w:rFonts w:ascii="Times New Roman" w:hAnsi="Times New Roman" w:cs="Times New Roman"/>
          <w:sz w:val="24"/>
          <w:szCs w:val="24"/>
        </w:rPr>
        <w:t xml:space="preserve">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</w:t>
      </w:r>
      <w:r>
        <w:rPr>
          <w:rFonts w:ascii="Times New Roman" w:hAnsi="Times New Roman" w:cs="Times New Roman"/>
          <w:sz w:val="24"/>
          <w:szCs w:val="24"/>
        </w:rPr>
        <w:t xml:space="preserve">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</w:t>
      </w:r>
      <w:r>
        <w:rPr>
          <w:rFonts w:ascii="Times New Roman" w:hAnsi="Times New Roman" w:cs="Times New Roman"/>
          <w:sz w:val="24"/>
          <w:szCs w:val="24"/>
        </w:rPr>
        <w:t xml:space="preserve">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4"/>
          <w:szCs w:val="24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не получает средства из бюджета Белоярского района на основании иных муниципальных правовых актов на цели, установленные пунктом 1.3 Порядка;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отбора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ритерии отбора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 получением субсидии вправе обратиться заявитель, соответствующий в совокупности на дату подачи заявки следующим критериям: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для юридических лиц: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а) имеет в пользовании территорию традиционного природопользования или лесной участок, предназначенный для ведения традиционной хозяйственной деятельности;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б) не имеет соглашений с пользователями недр;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в) включено в Реестр организаций или соответствует следующим критериям: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первая категория – община коренных малочисленных народов Севера автономного округа;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вторая категория – хозяйственные товарищества, общества, производственные и потребительские кооперативы, которые соответствуют следующим критериям в совокупности: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хотя бы один из учредителей относится к лицам из числа коренных малочисленных народов Севера, проживающих в автономном округе;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основным видом деятельности является традиционная хозяйственная деятельность коренных малочисленных народов Севера, при этом выручка от этого вида деятельности в общей сумме должна составлять не менее 70%;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 менее половины рабочих мест занято лицами из числа коренных малочисленных народов Севера, проживающих в автономном округе;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регистрация в качестве юридического лица в автономном округе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орядок подачи участниками отбора заявок и требования, предъявляемые к форме и содержанию заявок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ля участия в отборе заявитель представляет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следующие документы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заявку по форме согласно приложению 1 к Порядку;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копию паспорта с отметкой о регистрации по месту жительства на территории автономного округа (для руководителя юридического лица, для учредителя и работников (не менее 50% списочного состава) юридического лица второй категории);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3) копию свидетельства о рождении, подтверждающ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его, что родители заявителя либо один из родителей относятся к лицам из числа коренных малочисленных народов Севера автономного округа (для учредителя и работников (не менее 50% списочного состава) юридического лица второй категории);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4) справку-подтверждение основного вида экономической деятельности за последний отчетный финансовый год, при этом выручка от этого вида деятельности в общей сумме должна составлять не менее 70% (для юридического лица второй категории);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5) сведения о численности работников организации по форме согласно приложению 2 к Порядку (для юридического лица второй категории);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6) копию договора аренды лесного участка, предназначенного для ведения традиционной хозяйственной деятельности (для юридического лица в случае отсутствия в пользовании территории традиционного природопользования);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7) кассовый чек либо копию расчетных (платежных) документов, предусмотренных действующим законодательством, на приобретенные материально-технические средства;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8) копию паспорта, инструкции, руководства по эксплуатации либо иного документа, в которых указан серийный (идентификационный) номер технического средства на пилораму, бензопилу;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9) копию паспорта самоходной машины и других видов техники или выписки из электронного паспорта самоходной машины и других видов техники на квадроцикл;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10) копию свидетельства о государственной регистрации на квадроцикл;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11) платежные реквизиты для перечисления денежных средств.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Документы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представляются в администрацию Белоярского района по адресу: 628162, Ханты-Мансийский автономный округ – Югра, г.Белоярский, ул.Центральная, д.9.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Регистрация заявки о предоставлении субсидии осуществляется в системе электронного документооборота администрации Белоярского района в день ее поступления.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орядок отзыва заявок, порядок их возврата, определяющий в том числе основания для возврата заявок, порядок внесения изменений в заявки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 отбора вправе отозвать направленную заявку в течение срока проведения отбора. Обращение об отзыве заявки регистрируется в системе электронного документооборота уполномоченного органа в день его поступления.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Письменное обращение об отзыве заявки направляется участником отбора в уполномоченный орган с указанием регистрационного номера и даты регистрации заявки, причины ее отзыва.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обращение об отзыве заявки направлено позже срока проведения отбора либо оформ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лено не в соответствии с требованием данного пункта, заявка считается не отозванной, о чем уполномоченный орган в лице управления письменно уведомляет участника отбора, направившего заявку, в течение 3 (трех) рабочих дней с даты получения такого обращения.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 соответствия данного обращения требованиям настоящего пункта, уполномоченный орган в лице управления возвращает участнику отбора заявку в течение 3 (трех) рабочих дней, а участник отбора исключается из участников отбора.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Участник отбора вправе внести изменения в заявку в течение срока проведения отбора. Обращение о внесении изменений в заявку регистрируется в системе электронного документооборота уполномоченного органа в день его поступления.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Письменное обращение о внесении изменений в заявку направляется участником отбора в уполномоченный орган с указанием регистрационного номера и даты регистрации заявки, обоснования необходимости внесения в нее изменений.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Если обращение о внесении изменений в заявку направлено позже сро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 проведения отбора либо оформлено не в соответствии с требованием данного пункта, заявка не подлежит изменению, о чем уполномоченный орган в лице управления письменно уведомляет участника отбора в течение 3 (трех) рабочих дней с даты получения обращения.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случае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соответствия данного обращения требованиям настоящего пункта, уполномоченный орган в лице управления возвращает участнику отбора первоначальную заявку для внесения изменений в течение 3 (трех) рабочих дней, но не позднее окончания срока проведения отбора.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несенными изменениями участник отбора направляет в уполномоченный орган новую заявку и комплект документов к ней, указанных в пункте 2.6.1 Порядка, которая регистрируется в системе электронного документооборота уполномоченного органа в день ее поступления.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равила рассмотрения заявок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Уполномоченный орган в течение 3 (трех) рабочих дней с даты регистрации заявки запрашивает следующие сведения: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содержании в Реестр организаций – в Департаменте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недропользования и природных ресурсов автономного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пользователях недр, использующих земли для целей недропользования, в границах территорий традиционного природопользования Белоярского района – в Департаменте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недропользования и природных ресурсов автономного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наличии у заявителя соглашения с пользователем недр – у пользователя недр (запрос направляется в течение 3 (трех) рабочих дней с даты поступления ответа из Департамента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недропользования и природных ресурсов автономного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Для 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ассмотрения предложения (заявки) и принятия решения о соответствии или несоответствии заявителя и представленных им документов критериям и требованиям, установленным Порядком, уполномоченный орган формирует комиссию, утверждает ее состав и положение о ней.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Комиссия в течение 5 (пяти) рабочих дней посл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окончания срока приема заявок рассматривает документы, проверяет расчет субсидии и принимает решение о соответст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вии или несоответствии заявителя и представленных им документов критериям и требованиям, установленным Порядком, которое оформляет протоколом.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Уполномоченный орган в течение 5 (пяти) рабочих дней с даты подписания протокола принимает решение в форме постановления, содержащего сведения о заявителях, признанных получателями, сведения о заявителях, чьи заявки отклонены (с инф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ормацией о причинах отклонения)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отклонения заявок, а также информаци</w:t>
      </w:r>
      <w:r>
        <w:rPr>
          <w:rFonts w:ascii="Times New Roman" w:hAnsi="Times New Roman" w:cs="Times New Roman"/>
          <w:sz w:val="24"/>
          <w:szCs w:val="24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об основаниях их отклонения: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Комиссия в течение 5 (пяти) рабочих дней посл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 окончания срока приема заявок рассматривает документы, проверяет расчет субсидии и принимает решение о соответствии или несоответствии заявителя и представленных им документов критериям и требованиям, установленным Порядком, которое оформляет протоколом.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Уполномо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ченный орган в течение 5 (пяти) рабочих дней с даты подписания протокола принимает решение в форме постановления, содержащего сведения о заявителях, признанных получателями, сведения о заявителях, чьи заявки отклонены (с информацией о причинах отклонения).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Основания для отклонения заявки: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несоответствие заявителя критериям и требованиям, установленным Порядком;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несоответствие представленных заявителем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установление факта недостоверности представленной заявителем информации;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представленные заяви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телем документы не подтверждают право заявителя на субсидию;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несоответствие материально-технических средств в заявке видам материально-технических средств, указанных в абзацах третьем – пятом пункта 1.3 Порядка.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бъем распределяемой субсидии в рамках от</w:t>
      </w:r>
      <w:r>
        <w:rPr>
          <w:rFonts w:ascii="Times New Roman" w:hAnsi="Times New Roman" w:cs="Times New Roman"/>
          <w:sz w:val="24"/>
          <w:szCs w:val="24"/>
        </w:rPr>
        <w:t xml:space="preserve">бора, порядок расчета размера субсидии, установленный правовым актом,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</w:t>
      </w:r>
      <w:r>
        <w:rPr>
          <w:rFonts w:ascii="Times New Roman" w:hAnsi="Times New Roman" w:cs="Times New Roman"/>
          <w:sz w:val="24"/>
          <w:szCs w:val="24"/>
        </w:rPr>
        <w:t xml:space="preserve">е количество победителей отбора: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убсидия выплачивается получателю в следующих размерах: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tbl>
      <w:tblPr>
        <w:tblW w:w="935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4"/>
        <w:gridCol w:w="2948"/>
        <w:gridCol w:w="1204"/>
        <w:gridCol w:w="2934"/>
        <w:gridCol w:w="181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Вид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материально-технических средств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Ед. измерения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Процент от стоимости материально-технического средства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Максимальный размер субсидии, руб.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Бензопила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штука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50000,00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Пилорама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штука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260000,00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Квадроцикл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штука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 xml:space="preserve">500000,00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Субсидия предоставляется 1 раз в период действия Порядка на обустройство 1 домохозяйства или лесного участка, предназначенн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ого для ведения традиционной хозяйственной деятельности, по каждому из видов материально-технических средств, указанных в абзацах третьем – пятом пункта 1.3 Порядка, приобретенных в течение срока, предусмотренного абзацем третьим настоящего пункта Порядка.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Порядок не распространяется на лиц из числа коре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нных малочисленных народов Севера, получивших ранее субсидию на обустройство земельных участков территорий традиционного природопользования, территорий (акваторий), предназначенных для пользования объектами животного мира, водными биологическими ресурсами.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Субсидия предоставляется на новое материально-техническое средство, со дня приобретения которого прошло не более 2 лет на дату подачи заявки о предоставлении субсидии.</w:t>
      </w:r>
      <w:r>
        <w:rPr>
          <w:rFonts w:ascii="Times New Roman" w:hAnsi="Times New Roman" w:eastAsia="SimSun" w:cs="Times New Roman"/>
          <w:sz w:val="24"/>
          <w:szCs w:val="24"/>
        </w:rPr>
      </w:r>
      <w:r>
        <w:rPr>
          <w:rFonts w:ascii="Times New Roman" w:hAnsi="Times New Roman" w:eastAsia="SimSu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предоставления: 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азъяснение участникам отбора положений порядка по вопросам проведения отбора осуществляется управлением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природопользования, сельского хозяйства и развития предпринимательства администрации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всего срока проведения отбора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Отмена проведения отбора, а также возврат заявок на доработку Порядком не предусмотрено. Отбор признается несостоявшимся если по окончании срока подачи заявок не подано ни одной заявки.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роки размещения документа об итогах проведения отбора на официальном сайте органов местного самоуправления Белоярского района в информационно-телек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оммуникационной сети «Интернет»: 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правление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природопользования, сельского хозяйства и развития предпринимательства администрации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течение 3 (трех) рабо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чих дней после принятия решения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 ф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орме постановления, содержащего сведения о заявителях, признанных получателями, сведения о заявителях, чьи заявки отклонены (с информацией о причинах отклонения), размещает на официальном сайте органов местного самоуправления Белоярского района в информаци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онно-телекоммуникационной сети «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Интернет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информацию об итогах проведения отбора, включающую следующие сведения: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дату, время и место рассмотрения заявок;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информацию об участниках отбора, заявки которых были рассмотрены;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информацию об участниках отбора, заявки которых были отклонены, с указанием причин отклонения.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4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>
    <w:name w:val="Hyperlink"/>
    <w:basedOn w:val="834"/>
    <w:uiPriority w:val="99"/>
    <w:unhideWhenUsed/>
    <w:rPr>
      <w:color w:val="0563c1" w:themeColor="hyperlink"/>
      <w:u w:val="single"/>
    </w:rPr>
  </w:style>
  <w:style w:type="character" w:styleId="839">
    <w:name w:val="FollowedHyperlink"/>
    <w:basedOn w:val="834"/>
    <w:uiPriority w:val="99"/>
    <w:semiHidden/>
    <w:unhideWhenUsed/>
    <w:rPr>
      <w:color w:val="954f72" w:themeColor="followedHyperlink"/>
      <w:u w:val="single"/>
    </w:rPr>
  </w:style>
  <w:style w:type="paragraph" w:styleId="840">
    <w:name w:val="Balloon Text"/>
    <w:basedOn w:val="833"/>
    <w:link w:val="84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1" w:customStyle="1">
    <w:name w:val="Текст выноски Знак"/>
    <w:basedOn w:val="834"/>
    <w:link w:val="84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admbel@admbe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GoncharovIA</cp:lastModifiedBy>
  <cp:revision>45</cp:revision>
  <dcterms:created xsi:type="dcterms:W3CDTF">2022-04-11T10:48:00Z</dcterms:created>
  <dcterms:modified xsi:type="dcterms:W3CDTF">2026-01-22T03:18:25Z</dcterms:modified>
</cp:coreProperties>
</file>