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93"/>
        <w:jc w:val="center"/>
        <w:rPr>
          <w:b w:val="0"/>
          <w:szCs w:val="28"/>
        </w:rPr>
      </w:pPr>
      <w:r>
        <w:rPr>
          <w:szCs w:val="28"/>
        </w:rPr>
        <w:t xml:space="preserve">АДМИНИСТРАЦИЯ ГОРОДСКОГО ПОСЕЛЕНИЯ БЕЛОЯРСКИЙ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16"/>
          <w:szCs w:val="16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b/>
          <w:bCs/>
          <w:sz w:val="16"/>
          <w:szCs w:val="16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bCs/>
          <w:sz w:val="16"/>
          <w:szCs w:val="16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27 ноября 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№ 195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определении управляющей организации для управления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многоквартирным домом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частью 17 статьи 161 Жилищного кодекса Российской Федерации, </w:t>
      </w:r>
      <w:r>
        <w:rPr>
          <w:rFonts w:ascii="Times New Roman" w:hAnsi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                 </w:t>
      </w:r>
      <w:r>
        <w:rPr>
          <w:rFonts w:ascii="Times New Roman" w:hAnsi="Times New Roman"/>
          <w:sz w:val="24"/>
          <w:szCs w:val="24"/>
        </w:rPr>
        <w:t xml:space="preserve">  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Перечнем  управляющих орган</w:t>
      </w:r>
      <w:r>
        <w:rPr>
          <w:rFonts w:ascii="Times New Roman" w:hAnsi="Times New Roman"/>
          <w:sz w:val="24"/>
          <w:szCs w:val="24"/>
        </w:rPr>
        <w:t xml:space="preserve">изаций для управления многоквартирными домами,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 от 28 июня 20</w:t>
      </w:r>
      <w:r>
        <w:rPr>
          <w:rFonts w:ascii="Times New Roman" w:hAnsi="Times New Roman"/>
          <w:sz w:val="24"/>
          <w:szCs w:val="24"/>
          <w:lang w:val="ru-RU"/>
        </w:rPr>
        <w:t xml:space="preserve">24</w:t>
      </w:r>
      <w:r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sz w:val="24"/>
          <w:szCs w:val="24"/>
          <w:lang w:val="ru-RU"/>
        </w:rPr>
        <w:t xml:space="preserve">утверждённым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исполняющим</w:t>
      </w:r>
      <w:r>
        <w:rPr>
          <w:rFonts w:ascii="Times New Roman" w:hAnsi="Times New Roman"/>
          <w:sz w:val="24"/>
          <w:szCs w:val="24"/>
          <w:lang w:val="ru-RU"/>
        </w:rPr>
        <w:t xml:space="preserve"> обязанности </w:t>
      </w:r>
      <w:r>
        <w:rPr>
          <w:rFonts w:ascii="Times New Roman" w:hAnsi="Times New Roman"/>
          <w:sz w:val="24"/>
          <w:szCs w:val="24"/>
        </w:rPr>
        <w:t xml:space="preserve">глав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городского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Белоярский,  </w:t>
      </w:r>
      <w:r>
        <w:rPr>
          <w:rFonts w:ascii="Times New Roman" w:hAnsi="Times New Roman"/>
          <w:bCs/>
          <w:sz w:val="24"/>
          <w:szCs w:val="24"/>
        </w:rPr>
        <w:t xml:space="preserve">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Определить с </w:t>
      </w:r>
      <w:r>
        <w:rPr>
          <w:rFonts w:ascii="Times New Roman" w:hAnsi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января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Общество  с  ограниченной ответственностью «</w:t>
      </w:r>
      <w:r>
        <w:rPr>
          <w:rFonts w:ascii="Times New Roman" w:hAnsi="Times New Roman"/>
          <w:sz w:val="24"/>
          <w:szCs w:val="24"/>
        </w:rPr>
        <w:t xml:space="preserve">Сервисимпорттехника</w:t>
      </w:r>
      <w:r>
        <w:rPr>
          <w:rFonts w:ascii="Times New Roman" w:hAnsi="Times New Roman"/>
          <w:bCs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г.Белоярский, микрорайон Мирный, дом № </w:t>
      </w:r>
      <w:r>
        <w:rPr>
          <w:rFonts w:ascii="Times New Roman" w:hAnsi="Times New Roman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 Общество   с  ограниченной   ответственностью  «Жилищная компания ОК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 г.Белоярский, микрорайон Мирный, дом № </w:t>
      </w:r>
      <w:r>
        <w:rPr>
          <w:rFonts w:ascii="Times New Roman" w:hAnsi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1.3.  Общество  с   ограниченной   ответственностью  «</w:t>
      </w:r>
      <w:r>
        <w:rPr>
          <w:rFonts w:ascii="Times New Roman" w:hAnsi="Times New Roman"/>
          <w:sz w:val="24"/>
          <w:szCs w:val="24"/>
          <w:lang w:val="ru-RU"/>
        </w:rPr>
        <w:t xml:space="preserve">Ремстройдвор</w:t>
      </w:r>
      <w:r>
        <w:rPr>
          <w:rFonts w:ascii="Times New Roman" w:hAnsi="Times New Roman"/>
          <w:sz w:val="24"/>
          <w:szCs w:val="24"/>
        </w:rPr>
        <w:t xml:space="preserve">» 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 г.Белоярский, микрорайон Мирный, дом № </w:t>
      </w:r>
      <w:r>
        <w:rPr>
          <w:rFonts w:ascii="Times New Roman" w:hAnsi="Times New Roman"/>
          <w:sz w:val="24"/>
          <w:szCs w:val="24"/>
          <w:lang w:val="ru-RU"/>
        </w:rPr>
        <w:t xml:space="preserve">17.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размер платы за содержание жилого помещения, перечень работ и (или) услуг по управлению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многоквартирным домом,</w:t>
      </w:r>
      <w:r>
        <w:rPr>
          <w:rFonts w:ascii="Times New Roman" w:hAnsi="Times New Roman"/>
          <w:sz w:val="24"/>
          <w:szCs w:val="24"/>
        </w:rPr>
        <w:t xml:space="preserve">  содержанию и ремонту общего имущества в многоквартирных домах, указанных в пункте 1 настоящего постановления,  согласно   приложению  к настоящему постановлению.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Определить, что до выбора собственниками помещений в многоквартирном доме сп</w:t>
      </w:r>
      <w:r>
        <w:rPr>
          <w:rFonts w:ascii="Times New Roman" w:hAnsi="Times New Roman"/>
          <w:sz w:val="24"/>
          <w:szCs w:val="24"/>
        </w:rPr>
        <w:t xml:space="preserve">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на срок не более одного года: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Общество  с  ограниченной ответственностью «Сервисимпорттехника</w:t>
      </w:r>
      <w:r>
        <w:rPr>
          <w:rFonts w:ascii="Times New Roman" w:hAnsi="Times New Roman"/>
          <w:bCs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г.Белоярский, микрорайон Мирный,  дом  № </w:t>
      </w:r>
      <w:r>
        <w:rPr>
          <w:rFonts w:ascii="Times New Roman" w:hAnsi="Times New Roman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.2.  Общество    с  ограниченной    ответственностью   «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Жилищная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компания ОК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 г.Белоярский, микрорайон Мирный, дом № </w:t>
      </w:r>
      <w:r>
        <w:rPr>
          <w:rFonts w:ascii="Times New Roman" w:hAnsi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3.3. </w:t>
      </w:r>
      <w:r>
        <w:rPr>
          <w:rFonts w:ascii="Times New Roman" w:hAnsi="Times New Roman"/>
          <w:sz w:val="24"/>
          <w:szCs w:val="24"/>
        </w:rPr>
        <w:t xml:space="preserve">Общество   с  ограниченной   ответственностью  «</w:t>
      </w:r>
      <w:r>
        <w:rPr>
          <w:rFonts w:ascii="Times New Roman" w:hAnsi="Times New Roman"/>
          <w:sz w:val="24"/>
          <w:szCs w:val="24"/>
          <w:lang w:val="ru-RU"/>
        </w:rPr>
        <w:t xml:space="preserve">Ремстройдвор</w:t>
      </w:r>
      <w:r>
        <w:rPr>
          <w:rFonts w:ascii="Times New Roman" w:hAnsi="Times New Roman"/>
          <w:sz w:val="24"/>
          <w:szCs w:val="24"/>
        </w:rPr>
        <w:t xml:space="preserve">» временной управляющей организацией для управления многоквартирным дом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м, расположенным по адресу:  г.Белоярский, микрорайон Мирный, дом № </w:t>
      </w:r>
      <w:r>
        <w:rPr>
          <w:rFonts w:ascii="Times New Roman" w:hAnsi="Times New Roman"/>
          <w:sz w:val="24"/>
          <w:szCs w:val="24"/>
          <w:lang w:val="ru-RU"/>
        </w:rPr>
        <w:t xml:space="preserve">17.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выполнением настоящего постановления оставляю за собой.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widowControl w:val="off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widowControl w:val="off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widowControl w:val="off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widowControl w:val="off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widowControl w:val="off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Белоярский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  <w:lang w:val="ru-RU"/>
        </w:rPr>
        <w:t xml:space="preserve">.Н.Зюзько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92"/>
        <w:widowControl w:val="off"/>
        <w:spacing w:after="0" w:line="240" w:lineRule="auto"/>
        <w:outlineLvl w:val="0"/>
        <w:rPr>
          <w:rFonts w:ascii="Times New Roman" w:hAnsi="Times New Roman" w:eastAsia="Times New Roman"/>
          <w:sz w:val="24"/>
          <w:szCs w:val="24"/>
          <w:lang w:eastAsia="ru-RU"/>
        </w:rPr>
        <w:sectPr>
          <w:headerReference w:type="default" r:id="rId8"/>
          <w:headerReference w:type="even" r:id="rId9"/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w="11906" w:h="16838" w:orient="portrait"/>
          <w:pgMar w:top="851" w:right="851" w:bottom="1077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к постановлению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администрации городского поселения Белоярский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27 ноября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№ 195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Размер платы за содержание жилого помещения,  перечень работ и (или) услуг по управлению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 многоквартирным домом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содержанию и ремонту общего имущества в многоквартирных домам, расположенных по адресу: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cap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г.Белоярский, микрорайон Мирный,  дома  №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7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; 8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aps/>
          <w:sz w:val="24"/>
          <w:szCs w:val="24"/>
          <w:highlight w:val="none"/>
          <w:lang w:eastAsia="ru-RU"/>
        </w:rPr>
      </w:r>
    </w:p>
    <w:p>
      <w:pPr>
        <w:spacing w:after="0" w:line="240" w:lineRule="atLeast"/>
        <w:jc w:val="center"/>
        <w:rPr>
          <w:rFonts w:ascii="Times New Roman" w:hAnsi="Times New Roman" w:eastAsia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caps/>
          <w:sz w:val="24"/>
          <w:szCs w:val="24"/>
          <w:highlight w:val="none"/>
          <w:lang w:eastAsia="ru-RU"/>
        </w:rPr>
      </w:r>
    </w:p>
    <w:tbl>
      <w:tblPr>
        <w:tblW w:w="14458" w:type="dxa"/>
        <w:tblInd w:w="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7"/>
        <w:gridCol w:w="4678"/>
        <w:gridCol w:w="2693"/>
      </w:tblGrid>
      <w:tr>
        <w:trPr>
          <w:trHeight w:val="1212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Стоимость на 1 кв. метр общей площади (руб. в мес.)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blPrEx/>
        <w:tc>
          <w:tcPr>
            <w:tcW w:w="70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8,99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85"/>
        </w:trPr>
        <w:tblPrEx/>
        <w:tc>
          <w:tcPr>
            <w:tcW w:w="70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9,84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449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 и услуги по содержанию иного общего имущества (в том числе ремонт и содержание детских и спортивных площадок)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11,69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95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1,36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11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before="60" w:after="6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Обслуживание общедомовых приборов учета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1,70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37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Прочее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1,70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37"/>
        </w:trPr>
        <w:tblPrEx/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5,28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Размер платы за содержание жилого помещения,  перечень работ и (или) услуг по управлению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 многоквартирным домом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содержанию и ремонту общего имущества в многоквартирном доме, расположенном по адресу: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cap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   г.Белоярский, микрорайон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 Мирный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дом №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aps/>
          <w:sz w:val="24"/>
          <w:szCs w:val="24"/>
          <w:highlight w:val="none"/>
          <w:lang w:eastAsia="ru-RU"/>
        </w:rPr>
      </w:r>
    </w:p>
    <w:p>
      <w:pPr>
        <w:spacing w:after="0" w:line="240" w:lineRule="atLeast"/>
        <w:jc w:val="center"/>
        <w:rPr>
          <w:rFonts w:ascii="Times New Roman" w:hAnsi="Times New Roman" w:eastAsia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caps/>
          <w:sz w:val="24"/>
          <w:szCs w:val="24"/>
          <w:highlight w:val="none"/>
          <w:lang w:eastAsia="ru-RU"/>
        </w:rPr>
      </w:r>
    </w:p>
    <w:tbl>
      <w:tblPr>
        <w:tblW w:w="14458" w:type="dxa"/>
        <w:tblInd w:w="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29"/>
        <w:gridCol w:w="4819"/>
        <w:gridCol w:w="2410"/>
      </w:tblGrid>
      <w:tr>
        <w:trPr>
          <w:trHeight w:val="1212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Стоимость на 1 кв. метр общей площади (руб. в мес.)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blPrEx/>
        <w:tc>
          <w:tcPr>
            <w:tcW w:w="722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10,70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85"/>
        </w:trPr>
        <w:tblPrEx/>
        <w:tc>
          <w:tcPr>
            <w:tcW w:w="722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9,28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449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 и услуги по содержанию иного общего имущества (в том числе ремонт и содержание детских и спортивных площадок)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11,89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95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1,36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11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before="60" w:after="6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Обслуживание общедомовых приборов учета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37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Прочее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учетом требований, установленных законодательства Российской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37"/>
        </w:trPr>
        <w:tblPrEx/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92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6,63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tLeast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276" w:right="851" w:bottom="851" w:left="1077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204020203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tabs>
        <w:tab w:val="center" w:pos="4677" w:leader="none"/>
        <w:tab w:val="right" w:pos="9355" w:leader="none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tabs>
        <w:tab w:val="center" w:pos="4677" w:leader="none"/>
        <w:tab w:val="right" w:pos="9355" w:leader="none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tabs>
        <w:tab w:val="center" w:pos="4677" w:leader="none"/>
        <w:tab w:val="right" w:pos="9355" w:leader="none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tabs>
        <w:tab w:val="center" w:pos="4677" w:leader="none"/>
        <w:tab w:val="right" w:pos="9355" w:leader="none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tabs>
        <w:tab w:val="center" w:pos="4677" w:leader="none"/>
        <w:tab w:val="right" w:pos="9355" w:leader="none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ind w:left="720"/>
      <w:contextualSpacing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spacing w:after="57"/>
      <w:ind w:left="0" w:right="0" w:firstLine="0"/>
    </w:pPr>
  </w:style>
  <w:style w:type="paragraph" w:styleId="882">
    <w:name w:val="toc 2"/>
    <w:basedOn w:val="892"/>
    <w:next w:val="892"/>
    <w:uiPriority w:val="39"/>
    <w:unhideWhenUsed/>
    <w:pPr>
      <w:spacing w:after="57"/>
      <w:ind w:left="283" w:right="0" w:firstLine="0"/>
    </w:pPr>
  </w:style>
  <w:style w:type="paragraph" w:styleId="883">
    <w:name w:val="toc 3"/>
    <w:basedOn w:val="892"/>
    <w:next w:val="892"/>
    <w:uiPriority w:val="39"/>
    <w:unhideWhenUsed/>
    <w:pPr>
      <w:spacing w:after="57"/>
      <w:ind w:left="567" w:right="0" w:firstLine="0"/>
    </w:pPr>
  </w:style>
  <w:style w:type="paragraph" w:styleId="884">
    <w:name w:val="toc 4"/>
    <w:basedOn w:val="892"/>
    <w:next w:val="892"/>
    <w:uiPriority w:val="39"/>
    <w:unhideWhenUsed/>
    <w:pPr>
      <w:spacing w:after="57"/>
      <w:ind w:left="850" w:right="0" w:firstLine="0"/>
    </w:pPr>
  </w:style>
  <w:style w:type="paragraph" w:styleId="885">
    <w:name w:val="toc 5"/>
    <w:basedOn w:val="892"/>
    <w:next w:val="892"/>
    <w:uiPriority w:val="39"/>
    <w:unhideWhenUsed/>
    <w:pPr>
      <w:spacing w:after="57"/>
      <w:ind w:left="1134" w:right="0" w:firstLine="0"/>
    </w:pPr>
  </w:style>
  <w:style w:type="paragraph" w:styleId="886">
    <w:name w:val="toc 6"/>
    <w:basedOn w:val="892"/>
    <w:next w:val="892"/>
    <w:uiPriority w:val="39"/>
    <w:unhideWhenUsed/>
    <w:pPr>
      <w:spacing w:after="57"/>
      <w:ind w:left="1417" w:right="0" w:firstLine="0"/>
    </w:pPr>
  </w:style>
  <w:style w:type="paragraph" w:styleId="887">
    <w:name w:val="toc 7"/>
    <w:basedOn w:val="892"/>
    <w:next w:val="892"/>
    <w:uiPriority w:val="39"/>
    <w:unhideWhenUsed/>
    <w:pPr>
      <w:spacing w:after="57"/>
      <w:ind w:left="1701" w:right="0" w:firstLine="0"/>
    </w:pPr>
  </w:style>
  <w:style w:type="paragraph" w:styleId="888">
    <w:name w:val="toc 8"/>
    <w:basedOn w:val="892"/>
    <w:next w:val="892"/>
    <w:uiPriority w:val="39"/>
    <w:unhideWhenUsed/>
    <w:pPr>
      <w:spacing w:after="57"/>
      <w:ind w:left="1984" w:right="0" w:firstLine="0"/>
    </w:pPr>
  </w:style>
  <w:style w:type="paragraph" w:styleId="889">
    <w:name w:val="toc 9"/>
    <w:basedOn w:val="892"/>
    <w:next w:val="892"/>
    <w:uiPriority w:val="39"/>
    <w:unhideWhenUsed/>
    <w:pPr>
      <w:spacing w:after="57"/>
      <w:ind w:left="2268" w:right="0" w:firstLine="0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93">
    <w:name w:val="Заголовок 1"/>
    <w:basedOn w:val="892"/>
    <w:next w:val="892"/>
    <w:link w:val="897"/>
    <w:qFormat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94">
    <w:name w:val="Заголовок 3"/>
    <w:basedOn w:val="892"/>
    <w:next w:val="892"/>
    <w:link w:val="898"/>
    <w:uiPriority w:val="9"/>
    <w:unhideWhenUsed/>
    <w:qFormat/>
    <w:pPr>
      <w:keepNext/>
      <w:keepLines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95">
    <w:name w:val="Основной шрифт абзаца"/>
    <w:next w:val="895"/>
    <w:link w:val="892"/>
    <w:uiPriority w:val="1"/>
    <w:unhideWhenUsed/>
  </w:style>
  <w:style w:type="table" w:styleId="896">
    <w:name w:val="Обычная таблица"/>
    <w:next w:val="896"/>
    <w:link w:val="892"/>
    <w:uiPriority w:val="99"/>
    <w:unhideWhenUsed/>
    <w:tblPr/>
  </w:style>
  <w:style w:type="character" w:styleId="897">
    <w:name w:val="Заголовок 1 Знак"/>
    <w:next w:val="897"/>
    <w:link w:val="89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98">
    <w:name w:val="Заголовок 3 Знак"/>
    <w:next w:val="898"/>
    <w:link w:val="894"/>
    <w:uiPriority w:val="9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899">
    <w:name w:val="Гиперссылка"/>
    <w:next w:val="899"/>
    <w:link w:val="892"/>
    <w:uiPriority w:val="99"/>
    <w:unhideWhenUsed/>
    <w:rPr>
      <w:color w:val="0000ff"/>
      <w:u w:val="single"/>
    </w:rPr>
  </w:style>
  <w:style w:type="paragraph" w:styleId="900">
    <w:name w:val="Текст выноски"/>
    <w:basedOn w:val="892"/>
    <w:next w:val="900"/>
    <w:link w:val="901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1">
    <w:name w:val="Текст выноски Знак"/>
    <w:next w:val="901"/>
    <w:link w:val="900"/>
    <w:uiPriority w:val="99"/>
    <w:semiHidden/>
    <w:rPr>
      <w:rFonts w:ascii="Segoe UI" w:hAnsi="Segoe UI" w:cs="Segoe UI"/>
      <w:sz w:val="18"/>
      <w:szCs w:val="18"/>
    </w:rPr>
  </w:style>
  <w:style w:type="paragraph" w:styleId="902">
    <w:name w:val="Верхний колонтитул"/>
    <w:basedOn w:val="892"/>
    <w:next w:val="902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>
    <w:name w:val="Верхний колонтитул Знак"/>
    <w:next w:val="903"/>
    <w:link w:val="902"/>
    <w:uiPriority w:val="99"/>
    <w:rPr>
      <w:sz w:val="22"/>
      <w:szCs w:val="22"/>
      <w:lang w:eastAsia="en-US"/>
    </w:rPr>
  </w:style>
  <w:style w:type="paragraph" w:styleId="904">
    <w:name w:val="Нижний колонтитул"/>
    <w:basedOn w:val="892"/>
    <w:next w:val="904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>
    <w:name w:val="Нижний колонтитул Знак"/>
    <w:next w:val="905"/>
    <w:link w:val="904"/>
    <w:uiPriority w:val="99"/>
    <w:rPr>
      <w:sz w:val="22"/>
      <w:szCs w:val="22"/>
      <w:lang w:eastAsia="en-US"/>
    </w:rPr>
  </w:style>
  <w:style w:type="paragraph" w:styleId="906">
    <w:name w:val="ConsPlusNormal"/>
    <w:next w:val="906"/>
    <w:link w:val="892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07">
    <w:name w:val="ConsPlusNonformat"/>
    <w:next w:val="907"/>
    <w:link w:val="89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08">
    <w:name w:val="ConsPlusTitle"/>
    <w:next w:val="908"/>
    <w:link w:val="892"/>
    <w:uiPriority w:val="99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09">
    <w:name w:val="ConsPlusTitlePage"/>
    <w:next w:val="909"/>
    <w:link w:val="892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910">
    <w:name w:val="Абзац списка"/>
    <w:basedOn w:val="892"/>
    <w:next w:val="910"/>
    <w:link w:val="892"/>
    <w:uiPriority w:val="34"/>
    <w:qFormat/>
    <w:pPr>
      <w:ind w:left="720"/>
      <w:contextualSpacing/>
    </w:pPr>
    <w:rPr>
      <w:rFonts w:ascii="Calibri" w:hAnsi="Calibri" w:eastAsia="Calibri" w:cs="Times New Roman"/>
    </w:rPr>
  </w:style>
  <w:style w:type="paragraph" w:styleId="911">
    <w:name w:val="Без интервала"/>
    <w:next w:val="911"/>
    <w:link w:val="892"/>
    <w:uiPriority w:val="1"/>
    <w:qFormat/>
    <w:rPr>
      <w:sz w:val="22"/>
      <w:szCs w:val="22"/>
      <w:lang w:val="ru-RU" w:eastAsia="en-US" w:bidi="ar-SA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BoriskinaGN</cp:lastModifiedBy>
  <cp:revision>5</cp:revision>
  <dcterms:created xsi:type="dcterms:W3CDTF">2023-01-16T07:35:00Z</dcterms:created>
  <dcterms:modified xsi:type="dcterms:W3CDTF">2025-11-27T09:36:27Z</dcterms:modified>
</cp:coreProperties>
</file>