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0" distR="0">
            <wp:extent cx="647700" cy="885825"/>
            <wp:effectExtent l="0" t="0" r="0" b="9525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jc w:val="right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pStyle w:val="2"/>
        <w:rPr>
          <w:szCs w:val="28"/>
        </w:rPr>
      </w:pPr>
      <w:r>
        <w:rPr>
          <w:szCs w:val="28"/>
        </w:rPr>
        <w:t>АДМИНИСТРАЦИЯ БЕЛОЯРСКОГО РАЙОНА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rPr>
          <w:sz w:val="24"/>
          <w:szCs w:val="24"/>
        </w:rPr>
      </w:pPr>
    </w:p>
    <w:p>
      <w:pPr>
        <w:pStyle w:val="7"/>
        <w:rPr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от «___» ___________ 2022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№ ____</w:t>
      </w: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приложение к постановлению администрации</w:t>
      </w: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Белоярского района от 31 октября 2018 года № 1036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постановлением администрации Белоярского района от                 3 сентября 2018 года № 776 «Об утверждении Порядка принятия решений о разработке, формировании и реализации муниципальных программ Белоярского района»,                                       п о с т а н о в л я ю:</w:t>
      </w:r>
    </w:p>
    <w:p>
      <w:pPr>
        <w:autoSpaceDE w:val="0"/>
        <w:autoSpaceDN w:val="0"/>
        <w:adjustRightInd w:val="0"/>
        <w:ind w:firstLine="600" w:firstLineChars="25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Внести в постановление администрации Белоярского района от 31 октября 2018 года №1036 «Об утверждении муниципальной программы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2019 - 2024 годы» (далее - Постановление) </w:t>
      </w:r>
      <w:r>
        <w:rPr>
          <w:bCs/>
          <w:sz w:val="24"/>
          <w:szCs w:val="24"/>
        </w:rPr>
        <w:t>следующие изменения:</w:t>
      </w:r>
    </w:p>
    <w:p>
      <w:pPr>
        <w:autoSpaceDE w:val="0"/>
        <w:autoSpaceDN w:val="0"/>
        <w:adjustRightInd w:val="0"/>
        <w:ind w:firstLine="600" w:firstLineChars="250"/>
        <w:jc w:val="both"/>
        <w:rPr>
          <w:sz w:val="24"/>
          <w:szCs w:val="24"/>
          <w:highlight w:val="none"/>
        </w:rPr>
      </w:pPr>
      <w:r>
        <w:rPr>
          <w:bCs/>
          <w:sz w:val="24"/>
          <w:szCs w:val="24"/>
        </w:rPr>
        <w:t xml:space="preserve">1) в наименовании Постановления слова </w:t>
      </w:r>
      <w:r>
        <w:rPr>
          <w:sz w:val="24"/>
          <w:szCs w:val="24"/>
          <w:highlight w:val="none"/>
        </w:rPr>
        <w:t>«на 2019 – 2024 годы» исключить;</w:t>
      </w:r>
    </w:p>
    <w:p>
      <w:pPr>
        <w:autoSpaceDE w:val="0"/>
        <w:autoSpaceDN w:val="0"/>
        <w:adjustRightInd w:val="0"/>
        <w:ind w:firstLine="600" w:firstLineChars="250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>2) в пункте 1 Постановления слова «на 2019</w:t>
      </w:r>
      <w:r>
        <w:rPr>
          <w:sz w:val="24"/>
          <w:szCs w:val="24"/>
        </w:rPr>
        <w:t xml:space="preserve"> – 2024 годы» исключить.</w:t>
      </w:r>
    </w:p>
    <w:p>
      <w:pPr>
        <w:autoSpaceDE w:val="0"/>
        <w:autoSpaceDN w:val="0"/>
        <w:adjustRightInd w:val="0"/>
        <w:ind w:firstLine="600" w:firstLineChars="25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Внести в приложение «Муниципальная программа Белоярского района </w:t>
      </w:r>
      <w:r>
        <w:rPr>
          <w:sz w:val="24"/>
          <w:szCs w:val="24"/>
        </w:rPr>
        <w:t xml:space="preserve">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2019 - 2024 годы» </w:t>
      </w:r>
      <w:r>
        <w:rPr>
          <w:bCs/>
          <w:sz w:val="24"/>
          <w:szCs w:val="24"/>
        </w:rPr>
        <w:t>к Постановлению изменение, изложив его в редакции согласно приложению к настоящему  постановлению.</w:t>
      </w:r>
    </w:p>
    <w:p>
      <w:pPr>
        <w:autoSpaceDE w:val="0"/>
        <w:autoSpaceDN w:val="0"/>
        <w:adjustRightInd w:val="0"/>
        <w:ind w:firstLine="600" w:firstLineChars="250"/>
        <w:jc w:val="both"/>
        <w:rPr>
          <w:sz w:val="24"/>
          <w:szCs w:val="24"/>
        </w:rPr>
      </w:pPr>
      <w:r>
        <w:rPr>
          <w:sz w:val="24"/>
          <w:szCs w:val="24"/>
        </w:rPr>
        <w:t>3. Опубликовать настоящее постановление в газете «Белоярские вести. Официальный выпуск».</w:t>
      </w:r>
    </w:p>
    <w:p>
      <w:pPr>
        <w:autoSpaceDE w:val="0"/>
        <w:autoSpaceDN w:val="0"/>
        <w:adjustRightInd w:val="0"/>
        <w:ind w:firstLine="600" w:firstLineChars="250"/>
        <w:jc w:val="both"/>
        <w:rPr>
          <w:sz w:val="24"/>
          <w:szCs w:val="24"/>
        </w:rPr>
      </w:pPr>
      <w:r>
        <w:rPr>
          <w:sz w:val="24"/>
          <w:szCs w:val="24"/>
        </w:rPr>
        <w:t>4. Настоящее постановление вступает в силу после официального опубликования.</w:t>
      </w:r>
    </w:p>
    <w:p>
      <w:pPr>
        <w:autoSpaceDE w:val="0"/>
        <w:autoSpaceDN w:val="0"/>
        <w:adjustRightInd w:val="0"/>
        <w:ind w:firstLine="600" w:firstLineChars="250"/>
        <w:jc w:val="both"/>
        <w:rPr>
          <w:sz w:val="24"/>
          <w:szCs w:val="24"/>
        </w:rPr>
      </w:pPr>
      <w:r>
        <w:rPr>
          <w:sz w:val="24"/>
          <w:szCs w:val="24"/>
        </w:rPr>
        <w:t>5. Контроль за выполнением постановления возложить на первого заместителя главы Белоярского района Ойнеца А.В.</w:t>
      </w:r>
    </w:p>
    <w:p>
      <w:pPr>
        <w:autoSpaceDE w:val="0"/>
        <w:autoSpaceDN w:val="0"/>
        <w:adjustRightInd w:val="0"/>
        <w:ind w:firstLine="600" w:firstLineChars="250"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ind w:firstLine="600" w:firstLineChars="250"/>
        <w:jc w:val="both"/>
        <w:rPr>
          <w:sz w:val="24"/>
          <w:szCs w:val="24"/>
        </w:rPr>
      </w:pPr>
    </w:p>
    <w:p>
      <w:pPr>
        <w:jc w:val="both"/>
        <w:rPr>
          <w:sz w:val="24"/>
        </w:rPr>
      </w:pPr>
      <w:r>
        <w:rPr>
          <w:sz w:val="24"/>
        </w:rPr>
        <w:t>Глава Белоярского района</w:t>
      </w:r>
      <w:r>
        <w:rPr>
          <w:sz w:val="24"/>
        </w:rPr>
        <w:tab/>
      </w:r>
      <w:r>
        <w:rPr>
          <w:sz w:val="24"/>
        </w:rPr>
        <w:t xml:space="preserve">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С.П.Маненков</w:t>
      </w:r>
    </w:p>
    <w:p>
      <w:pPr>
        <w:pStyle w:val="7"/>
        <w:jc w:val="both"/>
      </w:pPr>
    </w:p>
    <w:p>
      <w:pPr>
        <w:pStyle w:val="7"/>
        <w:jc w:val="both"/>
      </w:pPr>
    </w:p>
    <w:p>
      <w:pPr>
        <w:rPr>
          <w:sz w:val="24"/>
          <w:szCs w:val="24"/>
        </w:rPr>
      </w:pPr>
    </w:p>
    <w:p>
      <w:pPr>
        <w:ind w:left="5382"/>
        <w:jc w:val="center"/>
        <w:rPr>
          <w:sz w:val="24"/>
          <w:szCs w:val="24"/>
        </w:rPr>
      </w:pPr>
    </w:p>
    <w:p>
      <w:pPr>
        <w:ind w:left="5382"/>
        <w:jc w:val="center"/>
        <w:rPr>
          <w:sz w:val="24"/>
          <w:szCs w:val="24"/>
        </w:rPr>
      </w:pPr>
    </w:p>
    <w:p>
      <w:pPr>
        <w:ind w:left="4956" w:firstLine="6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ind w:left="4956" w:firstLine="6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>
      <w:pPr>
        <w:ind w:left="4956" w:firstLine="6"/>
        <w:jc w:val="center"/>
        <w:rPr>
          <w:sz w:val="24"/>
          <w:szCs w:val="24"/>
        </w:rPr>
      </w:pPr>
      <w:r>
        <w:rPr>
          <w:sz w:val="24"/>
          <w:szCs w:val="24"/>
        </w:rPr>
        <w:t>Белоярского района</w:t>
      </w:r>
    </w:p>
    <w:p>
      <w:pPr>
        <w:ind w:left="4956" w:firstLine="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___ февраля 2022 года № </w:t>
      </w:r>
    </w:p>
    <w:p>
      <w:pPr>
        <w:ind w:left="4956" w:firstLine="6"/>
        <w:jc w:val="center"/>
        <w:rPr>
          <w:sz w:val="24"/>
          <w:szCs w:val="24"/>
        </w:rPr>
      </w:pPr>
    </w:p>
    <w:p>
      <w:pPr>
        <w:ind w:left="4956" w:firstLine="6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>
      <w:pPr>
        <w:ind w:left="4956" w:firstLine="6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>
      <w:pPr>
        <w:ind w:left="4956" w:firstLine="6"/>
        <w:jc w:val="center"/>
        <w:rPr>
          <w:sz w:val="24"/>
          <w:szCs w:val="24"/>
        </w:rPr>
      </w:pPr>
      <w:r>
        <w:rPr>
          <w:sz w:val="24"/>
          <w:szCs w:val="24"/>
        </w:rPr>
        <w:t>Белоярского района</w:t>
      </w:r>
    </w:p>
    <w:p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от 31 октября 2018 года № 1036</w:t>
      </w:r>
    </w:p>
    <w:p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Муниципальная программа Белоярского района</w:t>
      </w:r>
    </w:p>
    <w:p>
      <w:pPr>
        <w:jc w:val="center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«Защита населения от чрезвычайных ситуаций, обеспечение пожарной безопасности объектов муниципальной собственности и безопасности людей на </w:t>
      </w:r>
      <w:r>
        <w:rPr>
          <w:b/>
          <w:sz w:val="24"/>
          <w:szCs w:val="24"/>
          <w:highlight w:val="none"/>
        </w:rPr>
        <w:t>водных объектах»</w:t>
      </w:r>
    </w:p>
    <w:p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муниципальной программы</w:t>
      </w:r>
      <w:r>
        <w:rPr>
          <w:b/>
          <w:sz w:val="24"/>
          <w:szCs w:val="24"/>
        </w:rPr>
        <w:t xml:space="preserve"> Белоярского района</w:t>
      </w:r>
    </w:p>
    <w:p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(далее – муниципальная программа)</w:t>
      </w:r>
    </w:p>
    <w:p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tbl>
      <w:tblPr>
        <w:tblStyle w:val="5"/>
        <w:tblW w:w="18730" w:type="dxa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6047"/>
        <w:gridCol w:w="3318"/>
        <w:gridCol w:w="6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57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Наименование муниципальной программы</w:t>
            </w:r>
          </w:p>
          <w:p>
            <w:pPr>
              <w:ind w:left="-57"/>
              <w:jc w:val="both"/>
              <w:rPr>
                <w:sz w:val="24"/>
                <w:szCs w:val="24"/>
                <w:highlight w:val="none"/>
              </w:rPr>
            </w:pP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</w:t>
            </w:r>
          </w:p>
        </w:tc>
        <w:tc>
          <w:tcPr>
            <w:tcW w:w="3318" w:type="dxa"/>
            <w:tcBorders>
              <w:left w:val="single" w:color="auto" w:sz="4" w:space="0"/>
            </w:tcBorders>
          </w:tcPr>
          <w:p>
            <w:pPr>
              <w:ind w:left="-57"/>
              <w:jc w:val="both"/>
              <w:rPr>
                <w:sz w:val="24"/>
                <w:szCs w:val="24"/>
                <w:highlight w:val="none"/>
              </w:rPr>
            </w:pPr>
          </w:p>
        </w:tc>
        <w:tc>
          <w:tcPr>
            <w:tcW w:w="6047" w:type="dxa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Сроки реализации муниципальной программы</w:t>
            </w: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2019 – 2024 годы</w:t>
            </w:r>
          </w:p>
        </w:tc>
        <w:tc>
          <w:tcPr>
            <w:tcW w:w="3318" w:type="dxa"/>
            <w:tcBorders>
              <w:left w:val="single" w:color="auto" w:sz="4" w:space="0"/>
            </w:tcBorders>
          </w:tcPr>
          <w:p>
            <w:pPr>
              <w:ind w:left="-57"/>
              <w:jc w:val="both"/>
              <w:rPr>
                <w:sz w:val="24"/>
                <w:szCs w:val="24"/>
                <w:highlight w:val="none"/>
              </w:rPr>
            </w:pPr>
          </w:p>
        </w:tc>
        <w:tc>
          <w:tcPr>
            <w:tcW w:w="6047" w:type="dxa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Ответственный исполнитель муниципальной программы</w:t>
            </w: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отдел по делам гражданской обороны и чрезвычайным ситуациям администрации Белоярского района (далее – отдел ГО и ЧС)</w:t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</w:p>
        </w:tc>
        <w:tc>
          <w:tcPr>
            <w:tcW w:w="3318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highlight w:val="none"/>
              </w:rPr>
            </w:pPr>
          </w:p>
        </w:tc>
        <w:tc>
          <w:tcPr>
            <w:tcW w:w="6047" w:type="dxa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Соисполнители муниципальной программы</w:t>
            </w: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Управление жилищно-коммунального хозяйства администрации Белоярского района (далее – УЖКХ);</w:t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Комитет муниципальной собственности администрации Белоярского района (далее – КМС)</w:t>
            </w:r>
          </w:p>
        </w:tc>
        <w:tc>
          <w:tcPr>
            <w:tcW w:w="3318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none"/>
              </w:rPr>
            </w:pPr>
          </w:p>
        </w:tc>
        <w:tc>
          <w:tcPr>
            <w:tcW w:w="6047" w:type="dxa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57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Цели муниципальной программы</w:t>
            </w: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1. Повышение уровня пожарной безопасности в городском поселении Белоярский и на объектах муниципальной собственности Белоярского района.</w:t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2.  Повышение уровня защиты населения и территории Белоярского района от угроз природного и техногенного  характера.</w:t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3. Обеспечение безопасности населения Белоярского района в местах массового отдыха на водных объектах.</w:t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4. Создание условий для осуществления эффективной деятельности муниципального казенного учреждения «Единая дежурно-диспетчерская служба Белоярского района».</w:t>
            </w:r>
          </w:p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5. Построение и развитие на территории Белоярского района аппаратно-программного комплекса «Безопасный город» (далее – АПК БГ)</w:t>
            </w:r>
          </w:p>
        </w:tc>
        <w:tc>
          <w:tcPr>
            <w:tcW w:w="3318" w:type="dxa"/>
            <w:tcBorders>
              <w:left w:val="single" w:color="auto" w:sz="4" w:space="0"/>
            </w:tcBorders>
          </w:tcPr>
          <w:p>
            <w:pPr>
              <w:ind w:left="-57"/>
              <w:rPr>
                <w:sz w:val="24"/>
                <w:szCs w:val="24"/>
                <w:highlight w:val="none"/>
              </w:rPr>
            </w:pPr>
          </w:p>
        </w:tc>
        <w:tc>
          <w:tcPr>
            <w:tcW w:w="6047" w:type="dxa"/>
          </w:tcPr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57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Задачи муниципальной программы</w:t>
            </w: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rFonts w:eastAsia="Arial" w:cs="Arial"/>
                <w:sz w:val="24"/>
                <w:szCs w:val="24"/>
                <w:highlight w:val="none"/>
              </w:rPr>
              <w:t>1. Обеспечение первичных мер пожарной безопасности в границах городского поселения Белоярский.</w:t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2. Повышение эффективности мер защиты населения Белоярского района от чрезвычайных ситуаций природного и техногенного характера.</w:t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rFonts w:eastAsia="Arial" w:cs="Arial"/>
                <w:sz w:val="24"/>
                <w:szCs w:val="24"/>
                <w:highlight w:val="none"/>
              </w:rPr>
              <w:t xml:space="preserve">3. Повышение эффективности принимаемых мер направленных на </w:t>
            </w:r>
            <w:r>
              <w:rPr>
                <w:sz w:val="24"/>
                <w:szCs w:val="24"/>
                <w:highlight w:val="none"/>
              </w:rPr>
              <w:t>обеспечение безопасности населения Белоярского района в местах массового отдыха на водных объектах.</w:t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4. Обеспечение эффективной деятельности муниципального казенного учреждения «Единая дежурно-диспетчерская служба Белоярского района».</w:t>
            </w:r>
          </w:p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rFonts w:eastAsia="Arial" w:cs="Arial"/>
                <w:sz w:val="24"/>
                <w:szCs w:val="24"/>
                <w:highlight w:val="none"/>
              </w:rPr>
              <w:t>5. Повышение эффективности систем мониторинга и предупреждения чрезвычайных ситуаций, происшествий и правонарушений входящих в состав АПК БГ.</w:t>
            </w:r>
          </w:p>
        </w:tc>
        <w:tc>
          <w:tcPr>
            <w:tcW w:w="3318" w:type="dxa"/>
            <w:tcBorders>
              <w:left w:val="single" w:color="auto" w:sz="4" w:space="0"/>
            </w:tcBorders>
          </w:tcPr>
          <w:p>
            <w:pPr>
              <w:ind w:left="-57"/>
              <w:rPr>
                <w:sz w:val="24"/>
                <w:szCs w:val="24"/>
                <w:highlight w:val="none"/>
              </w:rPr>
            </w:pPr>
          </w:p>
        </w:tc>
        <w:tc>
          <w:tcPr>
            <w:tcW w:w="6047" w:type="dxa"/>
          </w:tcPr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Подпрограммы</w:t>
            </w:r>
          </w:p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highlight w:val="none"/>
              </w:rPr>
            </w:pP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Подпрограмма 1 «Укрепление пожарной безопасности»;</w:t>
            </w:r>
          </w:p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  <w:tc>
          <w:tcPr>
            <w:tcW w:w="3318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highlight w:val="none"/>
              </w:rPr>
            </w:pPr>
          </w:p>
        </w:tc>
        <w:tc>
          <w:tcPr>
            <w:tcW w:w="6047" w:type="dxa"/>
          </w:tcPr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Целевые показатели муниципальной программы </w:t>
            </w: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9"/>
              </w:tabs>
              <w:autoSpaceDE w:val="0"/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1) количество зарегистрированных пожаров на объектах муниципальной собственности Белоярского района, единиц;</w:t>
            </w:r>
          </w:p>
          <w:p>
            <w:pPr>
              <w:tabs>
                <w:tab w:val="left" w:pos="639"/>
              </w:tabs>
              <w:autoSpaceDE w:val="0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2) обеспеченность резервами (запасами) материальных ресурсов для ликвидации последствий чрезвычайных ситуаций и в целях гражданской обороны, от установленных норм обеспечения, процентов;</w:t>
            </w:r>
          </w:p>
          <w:p>
            <w:pPr>
              <w:tabs>
                <w:tab w:val="left" w:pos="639"/>
              </w:tabs>
              <w:autoSpaceDE w:val="0"/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 3) </w:t>
            </w:r>
            <w:r>
              <w:rPr>
                <w:bCs/>
                <w:sz w:val="24"/>
                <w:szCs w:val="24"/>
                <w:highlight w:val="none"/>
              </w:rPr>
              <w:t>доля населения Белоярского района прошедшего обучение в области гражданской обороны и защиты от чрезвычайных ситуаций, процентов;</w:t>
            </w:r>
          </w:p>
          <w:p>
            <w:pPr>
              <w:tabs>
                <w:tab w:val="left" w:pos="639"/>
              </w:tabs>
              <w:autoSpaceDE w:val="0"/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4) количество населенных пунктов, в которых проводятся противоэпидемиологические мероприятия по снижению численности кровососущих комаров и барьерной дератизации, единиц;</w:t>
            </w:r>
          </w:p>
          <w:p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5) количество происшествий (в том числе гибели людей) в местах массового отдыха людей на водных объектах, единиц;</w:t>
            </w:r>
          </w:p>
          <w:p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none"/>
              </w:rPr>
              <w:t>6) оценочные показатели реагирования на возможные чрезвычайные ситуации в соответствии с Уставом муниципального казенного учреждения «Единая дежурно-диспетчерская служба Белоярского района», баллов;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none"/>
              </w:rPr>
              <w:t>7) доля принятых в эксплуатацию технических систем, входящих в состав АПК БГ на территории Белоярского района, процентов</w:t>
            </w:r>
          </w:p>
        </w:tc>
        <w:tc>
          <w:tcPr>
            <w:tcW w:w="3318" w:type="dxa"/>
            <w:tcBorders>
              <w:left w:val="single" w:color="auto" w:sz="4" w:space="0"/>
            </w:tcBorders>
          </w:tcPr>
          <w:p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6047" w:type="dxa"/>
          </w:tcPr>
          <w:p>
            <w:pPr>
              <w:tabs>
                <w:tab w:val="left" w:pos="639"/>
              </w:tabs>
              <w:autoSpaceDE w:val="0"/>
              <w:jc w:val="both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Параметры финансового обеспечения муниципальной программы</w:t>
            </w: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Общий объем финансирования муниципальной программы на 2019 – 2024 годы составляет 106 041,9 тыс. рублей, в том числе:</w:t>
            </w:r>
          </w:p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 1) за счет средств бюджета Ханты-Мансийского автономного округа – Югры (далее – бюджет автономного округа) – 3 432,5 тыс. рублей, в том числе:</w:t>
            </w:r>
          </w:p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2019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2020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2021 год – 409,5 тыс. рублей;</w:t>
            </w:r>
          </w:p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2022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2023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2024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2) за счет средств бюджета Белоярского района –           102 609,4 тыс. рублей, в том числе:</w:t>
            </w:r>
          </w:p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2019 год – 14 155,8 тыс. рублей;</w:t>
            </w:r>
          </w:p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2020 год – 18 998,0 тыс. рублей;</w:t>
            </w:r>
          </w:p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2021 год – 21 803,6 тыс. рублей;</w:t>
            </w:r>
          </w:p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2022 год – 16 006,6 тыс. рублей;</w:t>
            </w:r>
          </w:p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2023 год – 15 951,4 тыс. рублей;</w:t>
            </w:r>
          </w:p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2024 год – 15 694,0 тыс. рублей</w:t>
            </w:r>
          </w:p>
        </w:tc>
        <w:tc>
          <w:tcPr>
            <w:tcW w:w="3318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highlight w:val="none"/>
              </w:rPr>
            </w:pPr>
          </w:p>
        </w:tc>
        <w:tc>
          <w:tcPr>
            <w:tcW w:w="6047" w:type="dxa"/>
          </w:tcPr>
          <w:p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highlight w:val="none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Параметры финансового обеспечения региональных проектов</w:t>
            </w: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trike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отсутствуют</w:t>
            </w:r>
          </w:p>
        </w:tc>
        <w:tc>
          <w:tcPr>
            <w:tcW w:w="3318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highlight w:val="none"/>
              </w:rPr>
            </w:pPr>
          </w:p>
        </w:tc>
        <w:tc>
          <w:tcPr>
            <w:tcW w:w="6047" w:type="dxa"/>
          </w:tcPr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Объем налоговых расходов Белоярского района</w:t>
            </w: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Общий объем налоговых расходов Белоярского района по муниципальной программе за 2022 - 2024 годы составляет 0,0 тыс.рублей</w:t>
            </w:r>
          </w:p>
        </w:tc>
        <w:tc>
          <w:tcPr>
            <w:tcW w:w="3318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highlight w:val="none"/>
              </w:rPr>
            </w:pPr>
          </w:p>
        </w:tc>
        <w:tc>
          <w:tcPr>
            <w:tcW w:w="6047" w:type="dxa"/>
          </w:tcPr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</w:p>
        </w:tc>
      </w:tr>
    </w:tbl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>
      <w:pPr>
        <w:pStyle w:val="13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полномочий ответственного исполнителя (соисполнителя) муниципальной программы </w:t>
      </w: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9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7"/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</w:trPr>
        <w:tc>
          <w:tcPr>
            <w:tcW w:w="737" w:type="dxa"/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Полномочия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384" w:type="dxa"/>
            <w:gridSpan w:val="2"/>
            <w:shd w:val="clear" w:color="auto" w:fill="auto"/>
            <w:vAlign w:val="center"/>
          </w:tcPr>
          <w:p>
            <w:pPr>
              <w:pStyle w:val="13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37" w:type="dxa"/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Формирует проект муниципальной программы </w:t>
            </w:r>
            <w:r>
              <w:rPr>
                <w:rFonts w:cs="Arial"/>
                <w:sz w:val="22"/>
                <w:szCs w:val="22"/>
              </w:rPr>
              <w:t>проекта (проект муниципального правового акта о внесении изменений в муниципальную программу),</w:t>
            </w:r>
            <w:r>
              <w:rPr>
                <w:sz w:val="22"/>
                <w:szCs w:val="22"/>
              </w:rPr>
              <w:t xml:space="preserve"> а также перечень соисполнителей муниципальной программы.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7" w:type="dxa"/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47" w:type="dxa"/>
            <w:shd w:val="clear" w:color="auto" w:fill="auto"/>
            <w:vAlign w:val="center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Согласовывает проект муниципальной программы </w:t>
            </w:r>
            <w:r>
              <w:rPr>
                <w:rFonts w:cs="Arial"/>
                <w:sz w:val="22"/>
                <w:szCs w:val="22"/>
              </w:rPr>
              <w:t xml:space="preserve">(проект муниципального правового акта о внесении изменений в муниципальную программу) </w:t>
            </w:r>
            <w:r>
              <w:rPr>
                <w:sz w:val="22"/>
                <w:szCs w:val="22"/>
              </w:rPr>
              <w:t>с соисполнителями муниципальной программы.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37" w:type="dxa"/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Размещает проект муниципальной программы </w:t>
            </w:r>
            <w:r>
              <w:rPr>
                <w:rFonts w:cs="Arial"/>
                <w:sz w:val="22"/>
                <w:szCs w:val="22"/>
              </w:rPr>
              <w:t xml:space="preserve">(проект муниципального правового акта о внесении изменений в муниципальную программу) </w:t>
            </w:r>
            <w:r>
              <w:rPr>
                <w:sz w:val="22"/>
                <w:szCs w:val="22"/>
              </w:rPr>
              <w:t>на официальном сайте органов местного самоуправления Белоярского района в разделе «Общественное обсуждение».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37" w:type="dxa"/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47" w:type="dxa"/>
            <w:shd w:val="clear" w:color="auto" w:fill="auto"/>
            <w:vAlign w:val="center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Обеспечивает проведение оценки регулирующего воздействия проекта муниципальной программы </w:t>
            </w:r>
            <w:r>
              <w:rPr>
                <w:rFonts w:cs="Arial"/>
                <w:sz w:val="22"/>
                <w:szCs w:val="22"/>
              </w:rPr>
              <w:t>(проекта  муниципального правового акта о внесении изменений в муниципальную программу)</w:t>
            </w:r>
            <w:r>
              <w:rPr>
                <w:sz w:val="22"/>
                <w:szCs w:val="22"/>
              </w:rPr>
              <w:t xml:space="preserve"> в порядке, установленном муниципальными нормативными правовыми актами администрации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37" w:type="dxa"/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47" w:type="dxa"/>
            <w:shd w:val="clear" w:color="auto" w:fill="auto"/>
            <w:vAlign w:val="center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Разрабатывает в пределах своих полномочий нормативные правовые акты, необходимые для реализации муниципальной программы.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37" w:type="dxa"/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47" w:type="dxa"/>
            <w:shd w:val="clear" w:color="auto" w:fill="auto"/>
            <w:vAlign w:val="center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Подготавливает и уточняет перечень и объемы финансирования основных мероприятий на очередной финансовый год и плановый период, а также механизм реализации муниципальной программы.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37" w:type="dxa"/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 реализацию муниципальной программы, несет ответственность за достижение целевых показателей муниципальной программы.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37" w:type="dxa"/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47" w:type="dxa"/>
            <w:shd w:val="clear" w:color="auto" w:fill="auto"/>
            <w:vAlign w:val="center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Осуществляет управление муниципальной программы, обеспечивает целевое и эффективное использование средств, выделяемых на ее реализацию.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37" w:type="dxa"/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647" w:type="dxa"/>
            <w:shd w:val="clear" w:color="auto" w:fill="auto"/>
            <w:vAlign w:val="center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Создает уведомление (вносит изменение в ранее созданное уведомление) в государственной автоматизированной информационной системе «Управление» (далее – ГАИС «Управление») в соответствии с требованиями Приказа Министерства экономического развития Российской Федерации от 11 ноября 2015 года №831 об утверждении  муниципальной программы (</w:t>
            </w:r>
            <w:r>
              <w:rPr>
                <w:rFonts w:cs="Arial"/>
                <w:sz w:val="22"/>
                <w:szCs w:val="22"/>
              </w:rPr>
              <w:t>муниципального правового акта о внесении изменений в муниципальную программу).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37" w:type="dxa"/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647" w:type="dxa"/>
            <w:shd w:val="clear" w:color="auto" w:fill="auto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Формирует годовой отчет о ходе реализации муниципальной программы за отчетный финансовый год в срок до 10 февраля года, следующего за отчетным периодом.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37" w:type="dxa"/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647" w:type="dxa"/>
            <w:shd w:val="clear" w:color="auto" w:fill="auto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Предоставляет по запросу управления экономики, реформ и программ администрации Белоярского района сведения, необходимые для проведения оперативного мониторинга реализации муниципальной программы.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384" w:type="dxa"/>
            <w:gridSpan w:val="2"/>
            <w:shd w:val="clear" w:color="auto" w:fill="auto"/>
            <w:vAlign w:val="center"/>
          </w:tcPr>
          <w:p>
            <w:pPr>
              <w:pStyle w:val="13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Соисполнитель  муниципальной программы: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37" w:type="dxa"/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Осуществляет реализацию мероприятий муниципальной программы в рамках своей компетенции.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37" w:type="dxa"/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47" w:type="dxa"/>
            <w:shd w:val="clear" w:color="auto" w:fill="auto"/>
            <w:vAlign w:val="center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Несет ответственность за своевременную и качественную реализацию мероприятий муниципальной программы, достижение целевых показателей муниципальной программы в рамках реализуемых мероприятий, обеспечивает целевое и эффективное использование бюджетных средств, выделяемых на реализацию мероприятий муниципальной программы.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37" w:type="dxa"/>
            <w:shd w:val="clear" w:color="auto" w:fill="auto"/>
            <w:vAlign w:val="center"/>
          </w:tcPr>
          <w:p>
            <w:pPr>
              <w:pStyle w:val="13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Разрабатывает в пределах своих полномочий нормативные правовые акты, необходимые для реализации мероприятий муниципальной программы.</w:t>
            </w:r>
          </w:p>
        </w:tc>
      </w:tr>
    </w:tbl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>
      <w:pPr>
        <w:pStyle w:val="13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>
      <w:pPr>
        <w:pStyle w:val="13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 программы, </w:t>
      </w:r>
    </w:p>
    <w:p>
      <w:pPr>
        <w:pStyle w:val="13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их связь с целевыми показателями</w:t>
      </w:r>
    </w:p>
    <w:p>
      <w:pPr>
        <w:pStyle w:val="1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0"/>
        <w:gridCol w:w="2752"/>
        <w:gridCol w:w="2694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650" w:type="dxa"/>
            <w:shd w:val="clear" w:color="auto" w:fill="auto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752" w:type="dxa"/>
            <w:shd w:val="clear" w:color="auto" w:fill="auto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694" w:type="dxa"/>
            <w:shd w:val="clear" w:color="auto" w:fill="auto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3260" w:type="dxa"/>
            <w:shd w:val="clear" w:color="auto" w:fill="auto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 значения целевого показателя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50" w:type="dxa"/>
            <w:shd w:val="clear" w:color="auto" w:fill="auto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52" w:type="dxa"/>
            <w:shd w:val="clear" w:color="auto" w:fill="auto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356" w:type="dxa"/>
            <w:gridSpan w:val="4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1 «Повышение уровня пожарной безопасности в городском поселении Белоярский и на объектах муниципальной собственности Белоярского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356" w:type="dxa"/>
            <w:gridSpan w:val="4"/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Задача 1 «О</w:t>
            </w:r>
            <w:r>
              <w:rPr>
                <w:rFonts w:eastAsia="Arial" w:cs="Arial"/>
                <w:sz w:val="22"/>
                <w:szCs w:val="22"/>
              </w:rPr>
              <w:t>беспечение первичных мер пожарной безопасности в границах городского поселения Белоярский</w:t>
            </w:r>
            <w:r>
              <w:rPr>
                <w:sz w:val="22"/>
                <w:szCs w:val="22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" w:hRule="atLeast"/>
        </w:trPr>
        <w:tc>
          <w:tcPr>
            <w:tcW w:w="9356" w:type="dxa"/>
            <w:gridSpan w:val="4"/>
            <w:shd w:val="clear" w:color="auto" w:fill="auto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1 «Укрепление пожарной безопасности»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4" w:hRule="atLeast"/>
        </w:trPr>
        <w:tc>
          <w:tcPr>
            <w:tcW w:w="650" w:type="dxa"/>
            <w:shd w:val="clear" w:color="auto" w:fill="auto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752" w:type="dxa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Мероприятия по обеспечению первичных мер пожарной безопасности в городском поселении Белоярский</w:t>
            </w:r>
          </w:p>
        </w:tc>
        <w:tc>
          <w:tcPr>
            <w:tcW w:w="2694" w:type="dxa"/>
            <w:shd w:val="clear" w:color="auto" w:fill="auto"/>
          </w:tcPr>
          <w:p>
            <w:pPr>
              <w:pStyle w:val="13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4" w:hRule="atLeast"/>
        </w:trPr>
        <w:tc>
          <w:tcPr>
            <w:tcW w:w="650" w:type="dxa"/>
            <w:shd w:val="clear" w:color="auto" w:fill="auto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752" w:type="dxa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Противопожарная пропаганда и обучение населения городского поселения Белоярский мерам пожарной безопасности</w:t>
            </w:r>
          </w:p>
        </w:tc>
        <w:tc>
          <w:tcPr>
            <w:tcW w:w="2694" w:type="dxa"/>
            <w:shd w:val="clear" w:color="auto" w:fill="auto"/>
          </w:tcPr>
          <w:p>
            <w:pPr>
              <w:pStyle w:val="13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зарегистрированных пожаров на объектах муниципальной собственности Белоярского района</w:t>
            </w:r>
          </w:p>
        </w:tc>
        <w:tc>
          <w:tcPr>
            <w:tcW w:w="3260" w:type="dxa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определяется в соответствии с фактическими данными, предоставляемыми отделом надзорной и профилактической работы по г.Белоярский и району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(далее – ОНД по г.Белоярский)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50" w:type="dxa"/>
            <w:shd w:val="clear" w:color="auto" w:fill="auto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2752" w:type="dxa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Оборудование мест проживания многодетных семей, малообеспеченных, социально-неадаптированных и маломобильных групп населения (проживающего в объектах муниципальной собственности) автономными пожарными извещателями с GSM-модулем</w:t>
            </w:r>
          </w:p>
        </w:tc>
        <w:tc>
          <w:tcPr>
            <w:tcW w:w="2694" w:type="dxa"/>
            <w:shd w:val="clear" w:color="auto" w:fill="auto"/>
          </w:tcPr>
          <w:p>
            <w:pPr>
              <w:pStyle w:val="13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зарегистрированных пожаров на объектах муниципальной собственности Белоярского района</w:t>
            </w:r>
          </w:p>
        </w:tc>
        <w:tc>
          <w:tcPr>
            <w:tcW w:w="3260" w:type="dxa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определяется в соответствии с фактическими данными, предоставляемыми ОНД по г.Белоярский</w:t>
            </w:r>
          </w:p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</w:trPr>
        <w:tc>
          <w:tcPr>
            <w:tcW w:w="9356" w:type="dxa"/>
            <w:gridSpan w:val="4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2 «Повышение уровня защиты населения и территории Белоярского района от угроз природного и техногенного  характера»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atLeast"/>
        </w:trPr>
        <w:tc>
          <w:tcPr>
            <w:tcW w:w="9356" w:type="dxa"/>
            <w:gridSpan w:val="4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2 «Повышение эффективности мер защиты населения Белоярского района от чрезвычайных ситуаций природного и техногенного характера»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356" w:type="dxa"/>
            <w:gridSpan w:val="4"/>
            <w:shd w:val="clear" w:color="auto" w:fill="auto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50" w:type="dxa"/>
            <w:shd w:val="clear" w:color="auto" w:fill="auto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752" w:type="dxa"/>
            <w:shd w:val="clear" w:color="auto" w:fill="auto"/>
          </w:tcPr>
          <w:p>
            <w:pPr>
              <w:pStyle w:val="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Пополнение и обеспечение сохранности  созданных резервов (запасов) материальных ресурсов для ликвидации последствий чрезвычайных ситуаций и в целях гражданской обороны</w:t>
            </w:r>
          </w:p>
        </w:tc>
        <w:tc>
          <w:tcPr>
            <w:tcW w:w="2694" w:type="dxa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Обеспеченность резервами (запасами) материальных ресурсов для ликвидации последствий чрезвычайных ситуаций и в целях гражданской обороны, от установленных норм обеспечения</w:t>
            </w:r>
          </w:p>
        </w:tc>
        <w:tc>
          <w:tcPr>
            <w:tcW w:w="3260" w:type="dxa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shd w:val="clear" w:color="auto" w:fill="FFFFFF"/>
              </w:rPr>
              <w:t xml:space="preserve">Показатель рассчитывается как отношение фактического объема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созданных резервов (запасов) материальных ресурсов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shd w:val="clear" w:color="auto" w:fill="FFFFFF"/>
              </w:rPr>
              <w:t xml:space="preserve"> к  планируемому объему резервов (запасов)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материальных ресурсов, утвержденному  постановлением администрации Белоярского района от 22 сентября 2014 года № 1300 «О создании резервов материальных ресурсов (запасов) Белоярского района для ликвидации чрезвычайных ситуаций муниципального характера и в целях гражданской обороны»,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shd w:val="clear" w:color="auto" w:fill="FFFFFF"/>
              </w:rPr>
              <w:t>умноженное на 100%.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50" w:type="dxa"/>
            <w:shd w:val="clear" w:color="auto" w:fill="auto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752" w:type="dxa"/>
            <w:shd w:val="clear" w:color="auto" w:fill="auto"/>
          </w:tcPr>
          <w:p>
            <w:pPr>
              <w:pStyle w:val="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</w:t>
            </w:r>
          </w:p>
        </w:tc>
        <w:tc>
          <w:tcPr>
            <w:tcW w:w="2694" w:type="dxa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населения Белоярского района прошедшего обучение в области гражданской обороны и защиты от чрезвычайных ситуаций</w:t>
            </w:r>
          </w:p>
        </w:tc>
        <w:tc>
          <w:tcPr>
            <w:tcW w:w="3260" w:type="dxa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рассчитывается  как отношение количества населения, прошедшего обучение по установленным программам обучения,  к общему количеству населения,  подлежащего обучению по установленным программам обучения,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shd w:val="clear" w:color="auto" w:fill="FFFFFF"/>
              </w:rPr>
              <w:t>умноженное на 100%.</w:t>
            </w:r>
          </w:p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населения,  подлежащего обучению и количество населения, прошедшего обучение по установленным программам,  предоставляется на основании данных из  Доклада об организации и итогах подготовки населения в области гражданской защиты за отчетный период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50" w:type="dxa"/>
            <w:shd w:val="clear" w:color="auto" w:fill="auto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752" w:type="dxa"/>
            <w:shd w:val="clear" w:color="auto" w:fill="auto"/>
          </w:tcPr>
          <w:p>
            <w:pPr>
              <w:pStyle w:val="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осуществления мероприятий по проведению дезинсекции и дератизации</w:t>
            </w:r>
          </w:p>
        </w:tc>
        <w:tc>
          <w:tcPr>
            <w:tcW w:w="2694" w:type="dxa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населенных пунктов, в которых проводятся противоэпидемиологические мероприятия по снижению численности кровососущих комаров и барьерной дератизации</w:t>
            </w:r>
          </w:p>
        </w:tc>
        <w:tc>
          <w:tcPr>
            <w:tcW w:w="3260" w:type="dxa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 количества населенных пунктов, в которых проведены противоэпидемиологические мероприятия по снижению численности кровососущих комаров и барьерной дератизации осуществляется в соответствии с заключенным муниципальным контрактом на оказание услуг по дезинсекционной (ларвицидной) обработке, барьерной дератизации, а также сбору и утилизации трупов животных на территории Белоярского района на соответствующий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356" w:type="dxa"/>
            <w:gridSpan w:val="4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3 «Обеспечение безопасности населения Белоярского района в местах массового отдыха на водных объектах»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356" w:type="dxa"/>
            <w:gridSpan w:val="4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3 «Повышение эффективности принимаемых мер направленных на обеспечение безопасности населения Белоярского района в местах массового отдыха на водных объектах»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356" w:type="dxa"/>
            <w:gridSpan w:val="4"/>
            <w:shd w:val="clear" w:color="auto" w:fill="auto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50" w:type="dxa"/>
            <w:shd w:val="clear" w:color="auto" w:fill="auto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752" w:type="dxa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безопасности людей на водных объектах</w:t>
            </w:r>
          </w:p>
        </w:tc>
        <w:tc>
          <w:tcPr>
            <w:tcW w:w="2694" w:type="dxa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происшествий (в том числе гибели людей) в местах массового отдыха людей на водных объектах </w:t>
            </w:r>
          </w:p>
        </w:tc>
        <w:tc>
          <w:tcPr>
            <w:tcW w:w="3260" w:type="dxa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определяется в соответствии с фактическими данными, предоставляемым Березовским инспекторским отделением Федерального казенного учреждения «Центр ГИМС МЧС России по Ханты-Мансийскому автономному округу – Югре»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356" w:type="dxa"/>
            <w:gridSpan w:val="4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4 «Создание условий для осуществления эффективной деятельности муниципального казенного учреждения «Единая дежурно-диспетчерская служба Белоярского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356" w:type="dxa"/>
            <w:gridSpan w:val="4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4 «Обеспечение эффективной деятельности муниципального казенного учреждения «Единая дежурно-диспетчерская служба Белоярского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356" w:type="dxa"/>
            <w:gridSpan w:val="4"/>
            <w:shd w:val="clear" w:color="auto" w:fill="auto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50" w:type="dxa"/>
            <w:shd w:val="clear" w:color="auto" w:fill="auto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2752" w:type="dxa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функционирования единой государственной системы предупреждения и ликвидации чрезвычайных ситуаций</w:t>
            </w:r>
          </w:p>
        </w:tc>
        <w:tc>
          <w:tcPr>
            <w:tcW w:w="2694" w:type="dxa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Оценочные показатели реагирования на возможные чрезвычайные ситуации в соответствии с Уставом муниципального казенного учреждения «Единая дежурно-диспетчерская служба Белоярского района»</w:t>
            </w:r>
          </w:p>
        </w:tc>
        <w:tc>
          <w:tcPr>
            <w:tcW w:w="3260" w:type="dxa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определяется в соответствии с фактическими данными, предоставляемыми федеральным казенным учреждением «Центр управления в кризисных ситуациях Главного управления МЧС России по Ханты-Мансийскому автономному округу – Югре»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356" w:type="dxa"/>
            <w:gridSpan w:val="4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5 «Построение и развитие на территории Белоярского района аппаратно-программного комплекса «Безопасный город»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356" w:type="dxa"/>
            <w:gridSpan w:val="4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5 «Повышение эффективности систем мониторинга и предупреждения чрезвычайных ситуаций, происшествий и правонарушений входящих в состав АПК БГ»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356" w:type="dxa"/>
            <w:gridSpan w:val="4"/>
            <w:shd w:val="clear" w:color="auto" w:fill="auto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50" w:type="dxa"/>
            <w:shd w:val="clear" w:color="auto" w:fill="auto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752" w:type="dxa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Построение и развитие аппаратно-программного комплекса «Безопасный город» на территории Белоярского района</w:t>
            </w:r>
          </w:p>
        </w:tc>
        <w:tc>
          <w:tcPr>
            <w:tcW w:w="2694" w:type="dxa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принятых в эксплуатацию технических систем, входящих в состав АПК БГ на территории Белоярского района</w:t>
            </w:r>
          </w:p>
        </w:tc>
        <w:tc>
          <w:tcPr>
            <w:tcW w:w="3260" w:type="dxa"/>
            <w:shd w:val="clear" w:color="auto" w:fill="auto"/>
          </w:tcPr>
          <w:p>
            <w:pPr>
              <w:pStyle w:val="1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отношение принятых в эксплуатацию технических систем,  входящих в состав аппаратно-программного комплекса «Безопасный город» (далее – АПК БГ)  к установленному проектом по построению и развитию АПК БГ на территории Белоярского района количеству технических систем подлежащих включению в состав АПК БГ</w:t>
            </w:r>
          </w:p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pStyle w:val="13"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sectPr>
          <w:headerReference r:id="rId3" w:type="default"/>
          <w:pgSz w:w="11906" w:h="16838"/>
          <w:pgMar w:top="1134" w:right="850" w:bottom="1134" w:left="1701" w:header="708" w:footer="708" w:gutter="0"/>
          <w:cols w:space="708" w:num="1"/>
          <w:titlePg/>
          <w:docGrid w:linePitch="360" w:charSpace="0"/>
        </w:sect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показатели муниципальной программы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Style w:val="10"/>
        <w:tblW w:w="15102" w:type="dxa"/>
        <w:tblInd w:w="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7"/>
        <w:gridCol w:w="4851"/>
        <w:gridCol w:w="1559"/>
        <w:gridCol w:w="991"/>
        <w:gridCol w:w="993"/>
        <w:gridCol w:w="992"/>
        <w:gridCol w:w="992"/>
        <w:gridCol w:w="992"/>
        <w:gridCol w:w="993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947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показа теля</w:t>
            </w:r>
          </w:p>
        </w:tc>
        <w:tc>
          <w:tcPr>
            <w:tcW w:w="4851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559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 показатель на начало реализации программы</w:t>
            </w:r>
          </w:p>
        </w:tc>
        <w:tc>
          <w:tcPr>
            <w:tcW w:w="5953" w:type="dxa"/>
            <w:gridSpan w:val="6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1792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Целевое значение показателя на момент окончания реализации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947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51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792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7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51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9" w:hRule="atLeast"/>
        </w:trPr>
        <w:tc>
          <w:tcPr>
            <w:tcW w:w="947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51" w:type="dxa"/>
          </w:tcPr>
          <w:p>
            <w:pPr>
              <w:pStyle w:val="13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зарегистрированных пожаров на объектах муниципальной собственности Белоярского района, единиц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2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51" w:type="dxa"/>
          </w:tcPr>
          <w:p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резервами (запасами) материальных ресурсов для ликвидации последствий чрезвычайных ситуаций и в целях гражданской обороны, от установленных норм обеспечения, процентов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99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92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7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51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населения Белоярского района прошедшего обучение в области гражданской обороны и защиты от чрезвычайных ситуаций, процентов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991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7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7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51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населенных пунктов, в которых проводятся противоэпидемиологические мероприятия по снижению численности кровососущих комаров и барьерной дератизации, единиц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7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51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происшествий (в том числе гибели людей) в местах массового отдыха людей на водных объектах, единиц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1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7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51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Оценочные показатели реагирования на возможные чрезвычайные ситуации в соответствии с Уставом муниципального казенного учреждения «Единая дежурно-диспетчерская служба Белоярского района», баллов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1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7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51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принятых в эксплуатацию технических систем, входящих в состав АПК БГ на территории Белоярского района, процентов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1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</w:tbl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Таблица 4</w:t>
      </w:r>
    </w:p>
    <w:p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финансовых ресурсов муниципальной программы</w:t>
      </w:r>
    </w:p>
    <w:p>
      <w:pPr>
        <w:autoSpaceDE w:val="0"/>
        <w:autoSpaceDN w:val="0"/>
        <w:adjustRightInd w:val="0"/>
        <w:ind w:firstLine="540"/>
        <w:jc w:val="center"/>
        <w:rPr>
          <w:rFonts w:eastAsia="Calibri"/>
          <w:sz w:val="22"/>
          <w:szCs w:val="22"/>
          <w:lang w:eastAsia="en-US"/>
        </w:rPr>
      </w:pPr>
    </w:p>
    <w:tbl>
      <w:tblPr>
        <w:tblStyle w:val="10"/>
        <w:tblW w:w="15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9"/>
        <w:gridCol w:w="3654"/>
        <w:gridCol w:w="2340"/>
        <w:gridCol w:w="1701"/>
        <w:gridCol w:w="1022"/>
        <w:gridCol w:w="924"/>
        <w:gridCol w:w="992"/>
        <w:gridCol w:w="993"/>
        <w:gridCol w:w="992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1009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Номер основ-ного меропри-ятия</w:t>
            </w:r>
          </w:p>
        </w:tc>
        <w:tc>
          <w:tcPr>
            <w:tcW w:w="3654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2340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701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highlight w:val="none"/>
              </w:rPr>
              <w:t>Источники финансирования</w:t>
            </w:r>
          </w:p>
        </w:tc>
        <w:tc>
          <w:tcPr>
            <w:tcW w:w="6907" w:type="dxa"/>
            <w:gridSpan w:val="7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highlight w:val="none"/>
              </w:rPr>
              <w:t>Объем бюджетных ассигнований на реализацию муниципальной программы (тыс.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1009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3654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2340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70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022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Всего</w:t>
            </w:r>
          </w:p>
        </w:tc>
        <w:tc>
          <w:tcPr>
            <w:tcW w:w="5885" w:type="dxa"/>
            <w:gridSpan w:val="6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highlight w:val="none"/>
              </w:rPr>
              <w:t>в том числе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1009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3654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2340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701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022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924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2019 г.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2020 г.</w:t>
            </w: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2021 г.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2022 г.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2023 г.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2024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9" w:hRule="atLeast"/>
        </w:trPr>
        <w:tc>
          <w:tcPr>
            <w:tcW w:w="15611" w:type="dxa"/>
            <w:gridSpan w:val="11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Подпрограмма 1 «Укрепление пожарной безопасности»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1.1</w:t>
            </w:r>
          </w:p>
        </w:tc>
        <w:tc>
          <w:tcPr>
            <w:tcW w:w="3654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Мероприятия по обеспечению первичных мер пожарной безопасности в городском поселении Белоярский (1)</w:t>
            </w: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отдел ГО и ЧС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2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118,3</w:t>
            </w:r>
          </w:p>
        </w:tc>
        <w:tc>
          <w:tcPr>
            <w:tcW w:w="924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70,0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9,9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8,4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10,0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10,0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1.1.1</w:t>
            </w:r>
          </w:p>
        </w:tc>
        <w:tc>
          <w:tcPr>
            <w:tcW w:w="3654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Противопожарная пропаганда и обучение населения городского поселения Белоярский мерам пожарной безопасности (1)</w:t>
            </w: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отдел ГО и ЧС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2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58,3</w:t>
            </w:r>
          </w:p>
        </w:tc>
        <w:tc>
          <w:tcPr>
            <w:tcW w:w="924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10,0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9,9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8,4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10,0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10,0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1.1.2</w:t>
            </w:r>
          </w:p>
        </w:tc>
        <w:tc>
          <w:tcPr>
            <w:tcW w:w="3654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Оборудование мест проживания многодетных семей, малообеспеченных, социально-неадаптированных и маломобильных групп населения (проживающего в муниципальном жилье) автономными пожарными извещателями с GSM-модулем</w:t>
            </w: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КМС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2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60,0</w:t>
            </w:r>
          </w:p>
        </w:tc>
        <w:tc>
          <w:tcPr>
            <w:tcW w:w="924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60,0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3654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Итого по подпрограмме 1</w:t>
            </w: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2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118,3</w:t>
            </w:r>
          </w:p>
        </w:tc>
        <w:tc>
          <w:tcPr>
            <w:tcW w:w="924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70,0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9,9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8,4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10,0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10,0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1" w:hRule="atLeast"/>
        </w:trPr>
        <w:tc>
          <w:tcPr>
            <w:tcW w:w="15611" w:type="dxa"/>
            <w:gridSpan w:val="11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restart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2.1</w:t>
            </w:r>
          </w:p>
        </w:tc>
        <w:tc>
          <w:tcPr>
            <w:tcW w:w="3654" w:type="dxa"/>
            <w:vMerge w:val="restart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Пополнение и обеспечение сохранности созданных резервов (запасов) материальных ресурсов для ликвидации последствий чрезвычайных ситуаций и в целях гражданской обороны (2)</w:t>
            </w: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отдел ГО и ЧС,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УЖКХ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2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3 359,0</w:t>
            </w:r>
          </w:p>
        </w:tc>
        <w:tc>
          <w:tcPr>
            <w:tcW w:w="924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505,5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524,7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609,7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629,9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544,6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544,6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3654" w:type="dxa"/>
            <w:vMerge w:val="continue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КМС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2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889,0</w:t>
            </w:r>
          </w:p>
        </w:tc>
        <w:tc>
          <w:tcPr>
            <w:tcW w:w="924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254,0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635,0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restart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2.2</w:t>
            </w:r>
          </w:p>
        </w:tc>
        <w:tc>
          <w:tcPr>
            <w:tcW w:w="3654" w:type="dxa"/>
            <w:vMerge w:val="restart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 (3)</w:t>
            </w: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отдел ГО и ЧС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2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2 427,4</w:t>
            </w:r>
          </w:p>
        </w:tc>
        <w:tc>
          <w:tcPr>
            <w:tcW w:w="924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260,2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973,8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317,9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277,9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298,8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298,8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3654" w:type="dxa"/>
            <w:vMerge w:val="continue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КМС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2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722,8</w:t>
            </w:r>
          </w:p>
        </w:tc>
        <w:tc>
          <w:tcPr>
            <w:tcW w:w="924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608,3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114,5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2.3</w:t>
            </w:r>
          </w:p>
        </w:tc>
        <w:tc>
          <w:tcPr>
            <w:tcW w:w="3654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Организация осуществления мероприятий по проведению дезинсекции и дератизации (4)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отдел ГО и ЧС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автономного округа</w:t>
            </w:r>
          </w:p>
        </w:tc>
        <w:tc>
          <w:tcPr>
            <w:tcW w:w="102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3 432,5</w:t>
            </w:r>
          </w:p>
        </w:tc>
        <w:tc>
          <w:tcPr>
            <w:tcW w:w="924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604,6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604,6</w:t>
            </w: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409,5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604,6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604,6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604,6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2.4</w:t>
            </w:r>
          </w:p>
        </w:tc>
        <w:tc>
          <w:tcPr>
            <w:tcW w:w="3654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Обеспечение безопасности людей на водных объектах (5)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отдел ГО и ЧС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2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982,0</w:t>
            </w:r>
          </w:p>
        </w:tc>
        <w:tc>
          <w:tcPr>
            <w:tcW w:w="924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198,4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195,9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195,9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195,9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195,9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2.5</w:t>
            </w:r>
          </w:p>
        </w:tc>
        <w:tc>
          <w:tcPr>
            <w:tcW w:w="3654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Создание условий для функционирования единой государственной системы предупреждения и ликвидации чрезвычайных ситуаций (6)</w:t>
            </w: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отдел ГО и ЧС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2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92 090,7</w:t>
            </w:r>
          </w:p>
        </w:tc>
        <w:tc>
          <w:tcPr>
            <w:tcW w:w="924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13 121,7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15 587,3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18 942,0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14 892,9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14 902,1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14 644,7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2.6</w:t>
            </w:r>
          </w:p>
        </w:tc>
        <w:tc>
          <w:tcPr>
            <w:tcW w:w="3654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Построение и развитие аппаратно-программного комплекса «Безопасный город» на территории Белоярского района (7)</w:t>
            </w: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отдел ГО и ЧС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2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2 020,2</w:t>
            </w:r>
          </w:p>
        </w:tc>
        <w:tc>
          <w:tcPr>
            <w:tcW w:w="924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1 040,0</w:t>
            </w: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980,2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0,0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0,0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7" w:hRule="atLeast"/>
        </w:trPr>
        <w:tc>
          <w:tcPr>
            <w:tcW w:w="1009" w:type="dxa"/>
            <w:vMerge w:val="restart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3654" w:type="dxa"/>
            <w:vMerge w:val="restart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Итого по подпрограмме 2</w:t>
            </w:r>
          </w:p>
        </w:tc>
        <w:tc>
          <w:tcPr>
            <w:tcW w:w="2340" w:type="dxa"/>
            <w:vMerge w:val="restart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всего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105 923,6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14 690,4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19 592,7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22 204,7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16 601,2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16 546,0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16 288,6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3654" w:type="dxa"/>
            <w:vMerge w:val="continue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2340" w:type="dxa"/>
            <w:vMerge w:val="continue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автономного округа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3 432,5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409,5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604,6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3654" w:type="dxa"/>
            <w:vMerge w:val="continue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2340" w:type="dxa"/>
            <w:vMerge w:val="continue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102 491,1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14 085,8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18 988,1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21 795,2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15 996,6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15 941,4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15 684,0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restart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3654" w:type="dxa"/>
            <w:vMerge w:val="restart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Итого по муниципальной программе</w:t>
            </w:r>
          </w:p>
        </w:tc>
        <w:tc>
          <w:tcPr>
            <w:tcW w:w="2340" w:type="dxa"/>
            <w:vMerge w:val="restart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всего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106 041,9</w:t>
            </w:r>
          </w:p>
        </w:tc>
        <w:tc>
          <w:tcPr>
            <w:tcW w:w="924" w:type="dxa"/>
            <w:vAlign w:val="center"/>
          </w:tcPr>
          <w:p>
            <w:pPr>
              <w:jc w:val="right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14 760,4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19 602,6</w:t>
            </w:r>
          </w:p>
        </w:tc>
        <w:tc>
          <w:tcPr>
            <w:tcW w:w="993" w:type="dxa"/>
            <w:vAlign w:val="center"/>
          </w:tcPr>
          <w:p>
            <w:pPr>
              <w:jc w:val="right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22 213,1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16 611,2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16 556,0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16 298,6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3654" w:type="dxa"/>
            <w:vMerge w:val="continue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none"/>
              </w:rPr>
            </w:pPr>
          </w:p>
        </w:tc>
        <w:tc>
          <w:tcPr>
            <w:tcW w:w="2340" w:type="dxa"/>
            <w:vMerge w:val="continue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бюджет автономного округа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3 432,5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409,5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604,6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604,6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</w:tcPr>
          <w:p>
            <w:pPr>
              <w:pStyle w:val="1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</w:tc>
        <w:tc>
          <w:tcPr>
            <w:tcW w:w="3654" w:type="dxa"/>
            <w:vMerge w:val="continue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none"/>
              </w:rPr>
            </w:pPr>
          </w:p>
        </w:tc>
        <w:tc>
          <w:tcPr>
            <w:tcW w:w="2340" w:type="dxa"/>
            <w:vMerge w:val="continue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бюджет Белоярского района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102 609,4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14 155,8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18 998,0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21 803,6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16 006,6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15 951,4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15 694,0</w:t>
            </w:r>
          </w:p>
        </w:tc>
      </w:tr>
    </w:tbl>
    <w:p>
      <w:pPr>
        <w:rPr>
          <w:sz w:val="16"/>
          <w:szCs w:val="16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Таблица 5</w:t>
      </w:r>
    </w:p>
    <w:p>
      <w:pPr>
        <w:jc w:val="right"/>
        <w:rPr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ind w:firstLine="540"/>
        <w:jc w:val="center"/>
        <w:rPr>
          <w:highlight w:val="none"/>
        </w:rPr>
      </w:pPr>
      <w:r>
        <w:rPr>
          <w:b/>
          <w:sz w:val="24"/>
          <w:szCs w:val="24"/>
          <w:highlight w:val="none"/>
        </w:rPr>
        <w:t>Мероприятия, реализуемые на принципах проектного управления</w:t>
      </w:r>
      <w:r>
        <w:rPr>
          <w:sz w:val="24"/>
          <w:szCs w:val="24"/>
          <w:highlight w:val="none"/>
        </w:rPr>
        <w:t xml:space="preserve"> </w:t>
      </w:r>
      <w:r>
        <w:rPr>
          <w:highlight w:val="none"/>
        </w:rPr>
        <w:t xml:space="preserve"> &lt;*&gt;</w:t>
      </w:r>
    </w:p>
    <w:p>
      <w:pPr>
        <w:autoSpaceDE w:val="0"/>
        <w:autoSpaceDN w:val="0"/>
        <w:adjustRightInd w:val="0"/>
        <w:ind w:firstLine="540"/>
        <w:jc w:val="center"/>
        <w:rPr>
          <w:sz w:val="24"/>
          <w:szCs w:val="24"/>
          <w:highlight w:val="none"/>
        </w:rPr>
      </w:pPr>
    </w:p>
    <w:tbl>
      <w:tblPr>
        <w:tblStyle w:val="5"/>
        <w:tblW w:w="15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09"/>
        <w:gridCol w:w="1267"/>
        <w:gridCol w:w="1701"/>
        <w:gridCol w:w="993"/>
        <w:gridCol w:w="1417"/>
        <w:gridCol w:w="1276"/>
        <w:gridCol w:w="1701"/>
        <w:gridCol w:w="1134"/>
        <w:gridCol w:w="992"/>
        <w:gridCol w:w="992"/>
        <w:gridCol w:w="993"/>
        <w:gridCol w:w="992"/>
        <w:gridCol w:w="992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1" w:hRule="atLeast"/>
          <w:tblHeader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bCs/>
                <w:highlight w:val="none"/>
              </w:rPr>
              <w:t>№ п/п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Наименование портфеля проектов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Наименование проекта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ind w:left="-108" w:firstLine="108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Номер мероприятия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Номер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Источники финансирования</w:t>
            </w:r>
          </w:p>
        </w:tc>
        <w:tc>
          <w:tcPr>
            <w:tcW w:w="6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Параметры финансового обеспечения (тыс.рублей)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" w:hRule="atLeast"/>
          <w:tblHeader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Всего</w:t>
            </w:r>
          </w:p>
        </w:tc>
        <w:tc>
          <w:tcPr>
            <w:tcW w:w="5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в том числе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" w:hRule="atLeast"/>
          <w:tblHeader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6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2019 г.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2020 г.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2021 г.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2022 г.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2023 г.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2024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0" w:hRule="atLeast"/>
          <w:tblHeader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13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highlight w:val="none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highlight w:val="none"/>
                <w:lang w:eastAsia="en-US"/>
              </w:rPr>
            </w:pPr>
          </w:p>
        </w:tc>
      </w:tr>
    </w:tbl>
    <w:p>
      <w:pPr>
        <w:widowControl w:val="0"/>
        <w:autoSpaceDE w:val="0"/>
        <w:autoSpaceDN w:val="0"/>
        <w:spacing w:before="22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&lt;*&gt; Муниципальной программой не предусмотрены мероприятия, реализуемые на принципах проектного управления.</w:t>
      </w:r>
    </w:p>
    <w:p>
      <w:pPr>
        <w:widowControl w:val="0"/>
        <w:autoSpaceDE w:val="0"/>
        <w:autoSpaceDN w:val="0"/>
        <w:jc w:val="both"/>
        <w:rPr>
          <w:highlight w:val="none"/>
        </w:rPr>
      </w:pPr>
    </w:p>
    <w:p>
      <w:pPr>
        <w:spacing w:line="256" w:lineRule="auto"/>
        <w:rPr>
          <w:sz w:val="24"/>
          <w:szCs w:val="24"/>
          <w:highlight w:val="none"/>
        </w:rPr>
        <w:sectPr>
          <w:pgSz w:w="16838" w:h="11905" w:orient="landscape"/>
          <w:pgMar w:top="1701" w:right="1134" w:bottom="850" w:left="1134" w:header="0" w:footer="0" w:gutter="0"/>
          <w:cols w:space="720" w:num="1"/>
        </w:sectPr>
      </w:pPr>
    </w:p>
    <w:p>
      <w:pPr>
        <w:widowControl w:val="0"/>
        <w:autoSpaceDE w:val="0"/>
        <w:autoSpaceDN w:val="0"/>
        <w:jc w:val="both"/>
        <w:rPr>
          <w:rFonts w:ascii="Calibri" w:hAnsi="Calibri" w:cs="Calibri"/>
          <w:highlight w:val="green"/>
        </w:rPr>
      </w:pPr>
    </w:p>
    <w:p>
      <w:pPr>
        <w:widowControl w:val="0"/>
        <w:tabs>
          <w:tab w:val="left" w:pos="8328"/>
          <w:tab w:val="right" w:pos="9354"/>
        </w:tabs>
        <w:autoSpaceDE w:val="0"/>
        <w:autoSpaceDN w:val="0"/>
        <w:outlineLvl w:val="1"/>
        <w:rPr>
          <w:sz w:val="24"/>
          <w:szCs w:val="24"/>
          <w:highlight w:val="none"/>
        </w:rPr>
      </w:pPr>
      <w:bookmarkStart w:id="0" w:name="_GoBack"/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>Таблица 6</w:t>
      </w:r>
    </w:p>
    <w:bookmarkEnd w:id="0"/>
    <w:p>
      <w:pPr>
        <w:widowControl w:val="0"/>
        <w:autoSpaceDE w:val="0"/>
        <w:autoSpaceDN w:val="0"/>
        <w:jc w:val="both"/>
      </w:pPr>
    </w:p>
    <w:p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Перечень реализуемых объектов</w:t>
      </w:r>
      <w:r>
        <w:rPr>
          <w:sz w:val="24"/>
          <w:szCs w:val="24"/>
        </w:rPr>
        <w:t xml:space="preserve"> &lt;**&gt;</w:t>
      </w:r>
    </w:p>
    <w:p>
      <w:pPr>
        <w:widowControl w:val="0"/>
        <w:autoSpaceDE w:val="0"/>
        <w:autoSpaceDN w:val="0"/>
        <w:jc w:val="both"/>
        <w:rPr>
          <w:sz w:val="24"/>
          <w:szCs w:val="24"/>
        </w:rPr>
      </w:pPr>
    </w:p>
    <w:p>
      <w:pPr>
        <w:widowControl w:val="0"/>
        <w:autoSpaceDE w:val="0"/>
        <w:autoSpaceDN w:val="0"/>
        <w:jc w:val="both"/>
        <w:rPr>
          <w:rFonts w:ascii="Calibri" w:hAnsi="Calibri" w:cs="Calibri"/>
          <w:sz w:val="24"/>
          <w:szCs w:val="24"/>
          <w:highlight w:val="gree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1"/>
        <w:gridCol w:w="1623"/>
        <w:gridCol w:w="1259"/>
        <w:gridCol w:w="1576"/>
        <w:gridCol w:w="1336"/>
        <w:gridCol w:w="1417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02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строительства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Механизм реализации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highlight w:val="green"/>
        </w:rPr>
      </w:pPr>
    </w:p>
    <w:p>
      <w:pPr>
        <w:widowControl w:val="0"/>
        <w:autoSpaceDE w:val="0"/>
        <w:autoSpaceDN w:val="0"/>
        <w:spacing w:before="220"/>
        <w:jc w:val="both"/>
        <w:rPr>
          <w:sz w:val="24"/>
          <w:szCs w:val="24"/>
        </w:rPr>
      </w:pPr>
      <w:r>
        <w:rPr>
          <w:sz w:val="24"/>
          <w:szCs w:val="24"/>
        </w:rPr>
        <w:t>&lt;**&gt; Муниципальной программой не предусмотрено строительство (реконструкция) объектов капитального строительства, направленных на достижение ее целей и решение задач.</w:t>
      </w:r>
    </w:p>
    <w:p>
      <w:pPr>
        <w:widowControl w:val="0"/>
        <w:autoSpaceDE w:val="0"/>
        <w:autoSpaceDN w:val="0"/>
        <w:spacing w:before="220"/>
        <w:jc w:val="right"/>
      </w:pPr>
      <w:r>
        <w:t>»</w:t>
      </w:r>
    </w:p>
    <w:p>
      <w:pPr>
        <w:jc w:val="center"/>
        <w:rPr>
          <w:sz w:val="24"/>
          <w:szCs w:val="24"/>
        </w:rPr>
      </w:pPr>
      <w:r>
        <w:t>__________________</w:t>
      </w:r>
    </w:p>
    <w:sectPr>
      <w:pgSz w:w="11906" w:h="16838"/>
      <w:pgMar w:top="567" w:right="851" w:bottom="567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8019808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D1"/>
    <w:rsid w:val="00007B65"/>
    <w:rsid w:val="00017BF3"/>
    <w:rsid w:val="000301E8"/>
    <w:rsid w:val="00030BA8"/>
    <w:rsid w:val="00042067"/>
    <w:rsid w:val="0007217C"/>
    <w:rsid w:val="00083435"/>
    <w:rsid w:val="000B48AC"/>
    <w:rsid w:val="000D7B23"/>
    <w:rsid w:val="00131755"/>
    <w:rsid w:val="00141F4D"/>
    <w:rsid w:val="0016713C"/>
    <w:rsid w:val="00171075"/>
    <w:rsid w:val="00193608"/>
    <w:rsid w:val="001E04FD"/>
    <w:rsid w:val="00206BF5"/>
    <w:rsid w:val="0021688B"/>
    <w:rsid w:val="00222F53"/>
    <w:rsid w:val="00240B7A"/>
    <w:rsid w:val="002658FB"/>
    <w:rsid w:val="00271833"/>
    <w:rsid w:val="0028454E"/>
    <w:rsid w:val="002A049F"/>
    <w:rsid w:val="002C59C9"/>
    <w:rsid w:val="002D260B"/>
    <w:rsid w:val="002F22DD"/>
    <w:rsid w:val="003058DE"/>
    <w:rsid w:val="0030708F"/>
    <w:rsid w:val="00307582"/>
    <w:rsid w:val="00310AFC"/>
    <w:rsid w:val="00335B09"/>
    <w:rsid w:val="00343D7B"/>
    <w:rsid w:val="00355D28"/>
    <w:rsid w:val="00374A9D"/>
    <w:rsid w:val="00383706"/>
    <w:rsid w:val="003913AE"/>
    <w:rsid w:val="003A1294"/>
    <w:rsid w:val="003C1111"/>
    <w:rsid w:val="003C39D4"/>
    <w:rsid w:val="003E509E"/>
    <w:rsid w:val="003E60C7"/>
    <w:rsid w:val="00405345"/>
    <w:rsid w:val="00413414"/>
    <w:rsid w:val="004203E3"/>
    <w:rsid w:val="00432E28"/>
    <w:rsid w:val="004350A7"/>
    <w:rsid w:val="004525B3"/>
    <w:rsid w:val="00452632"/>
    <w:rsid w:val="00453484"/>
    <w:rsid w:val="0047503D"/>
    <w:rsid w:val="0047556E"/>
    <w:rsid w:val="004E3761"/>
    <w:rsid w:val="004E3E93"/>
    <w:rsid w:val="005030B0"/>
    <w:rsid w:val="00525E8B"/>
    <w:rsid w:val="005274D8"/>
    <w:rsid w:val="005328D8"/>
    <w:rsid w:val="00534B2A"/>
    <w:rsid w:val="0053636C"/>
    <w:rsid w:val="00554817"/>
    <w:rsid w:val="00585A72"/>
    <w:rsid w:val="00593305"/>
    <w:rsid w:val="00595597"/>
    <w:rsid w:val="005A182F"/>
    <w:rsid w:val="005A6A42"/>
    <w:rsid w:val="00615393"/>
    <w:rsid w:val="006347E5"/>
    <w:rsid w:val="00657AD3"/>
    <w:rsid w:val="006D2AEC"/>
    <w:rsid w:val="006F329D"/>
    <w:rsid w:val="00713761"/>
    <w:rsid w:val="00717123"/>
    <w:rsid w:val="00721C3D"/>
    <w:rsid w:val="00725186"/>
    <w:rsid w:val="00791D13"/>
    <w:rsid w:val="007B462F"/>
    <w:rsid w:val="007B6ADE"/>
    <w:rsid w:val="007C22C3"/>
    <w:rsid w:val="007C3D95"/>
    <w:rsid w:val="007D6C17"/>
    <w:rsid w:val="007D7BF4"/>
    <w:rsid w:val="007E5E01"/>
    <w:rsid w:val="007F1071"/>
    <w:rsid w:val="007F4B91"/>
    <w:rsid w:val="00812339"/>
    <w:rsid w:val="00812366"/>
    <w:rsid w:val="00842A33"/>
    <w:rsid w:val="00852B0C"/>
    <w:rsid w:val="008A5C85"/>
    <w:rsid w:val="008C5FCD"/>
    <w:rsid w:val="008D70B4"/>
    <w:rsid w:val="008E1AB3"/>
    <w:rsid w:val="009119D4"/>
    <w:rsid w:val="009212D4"/>
    <w:rsid w:val="00921B94"/>
    <w:rsid w:val="009672E1"/>
    <w:rsid w:val="009809BF"/>
    <w:rsid w:val="00994712"/>
    <w:rsid w:val="009A75FA"/>
    <w:rsid w:val="009B6784"/>
    <w:rsid w:val="009F7C05"/>
    <w:rsid w:val="00A043EE"/>
    <w:rsid w:val="00A147D1"/>
    <w:rsid w:val="00A16867"/>
    <w:rsid w:val="00A33233"/>
    <w:rsid w:val="00A3650F"/>
    <w:rsid w:val="00A4120B"/>
    <w:rsid w:val="00A45965"/>
    <w:rsid w:val="00A51088"/>
    <w:rsid w:val="00A62E16"/>
    <w:rsid w:val="00A80916"/>
    <w:rsid w:val="00A9365E"/>
    <w:rsid w:val="00A94C38"/>
    <w:rsid w:val="00AB065F"/>
    <w:rsid w:val="00AB5A06"/>
    <w:rsid w:val="00AC548E"/>
    <w:rsid w:val="00AD0E49"/>
    <w:rsid w:val="00AD2799"/>
    <w:rsid w:val="00B03E1C"/>
    <w:rsid w:val="00B1228A"/>
    <w:rsid w:val="00B148C7"/>
    <w:rsid w:val="00B16E86"/>
    <w:rsid w:val="00B22A47"/>
    <w:rsid w:val="00B26BB6"/>
    <w:rsid w:val="00B509E5"/>
    <w:rsid w:val="00B612F8"/>
    <w:rsid w:val="00BB0A59"/>
    <w:rsid w:val="00BB3B31"/>
    <w:rsid w:val="00BE6214"/>
    <w:rsid w:val="00BF381D"/>
    <w:rsid w:val="00C01FDE"/>
    <w:rsid w:val="00C17A34"/>
    <w:rsid w:val="00C26361"/>
    <w:rsid w:val="00C26F8C"/>
    <w:rsid w:val="00C30541"/>
    <w:rsid w:val="00C330D9"/>
    <w:rsid w:val="00C44F98"/>
    <w:rsid w:val="00C53241"/>
    <w:rsid w:val="00C57D6C"/>
    <w:rsid w:val="00C70813"/>
    <w:rsid w:val="00C7306A"/>
    <w:rsid w:val="00CC4489"/>
    <w:rsid w:val="00CC51E5"/>
    <w:rsid w:val="00CF7538"/>
    <w:rsid w:val="00D211F1"/>
    <w:rsid w:val="00D371DC"/>
    <w:rsid w:val="00D63D3A"/>
    <w:rsid w:val="00D64F28"/>
    <w:rsid w:val="00D750DB"/>
    <w:rsid w:val="00D91D36"/>
    <w:rsid w:val="00DA22B0"/>
    <w:rsid w:val="00E00456"/>
    <w:rsid w:val="00E222CD"/>
    <w:rsid w:val="00E3412A"/>
    <w:rsid w:val="00E54E17"/>
    <w:rsid w:val="00E80DA6"/>
    <w:rsid w:val="00E868CF"/>
    <w:rsid w:val="00F15EB3"/>
    <w:rsid w:val="00F326FB"/>
    <w:rsid w:val="00F66103"/>
    <w:rsid w:val="00F71181"/>
    <w:rsid w:val="00F7254B"/>
    <w:rsid w:val="00F7689A"/>
    <w:rsid w:val="00FC02C6"/>
    <w:rsid w:val="00FC20AE"/>
    <w:rsid w:val="00FD7031"/>
    <w:rsid w:val="00FE6FDD"/>
    <w:rsid w:val="0DC7245A"/>
    <w:rsid w:val="2E7B457B"/>
    <w:rsid w:val="5949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1"/>
    <w:next w:val="1"/>
    <w:link w:val="19"/>
    <w:qFormat/>
    <w:uiPriority w:val="0"/>
    <w:pPr>
      <w:keepNext/>
      <w:jc w:val="center"/>
      <w:outlineLvl w:val="2"/>
    </w:pPr>
    <w:rPr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6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20"/>
    <w:uiPriority w:val="0"/>
    <w:pPr>
      <w:jc w:val="center"/>
    </w:pPr>
    <w:rPr>
      <w:sz w:val="24"/>
    </w:rPr>
  </w:style>
  <w:style w:type="paragraph" w:styleId="8">
    <w:name w:val="header"/>
    <w:basedOn w:val="1"/>
    <w:link w:val="11"/>
    <w:unhideWhenUsed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9">
    <w:name w:val="footer"/>
    <w:basedOn w:val="1"/>
    <w:link w:val="12"/>
    <w:unhideWhenUsed/>
    <w:qFormat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  <w:lang w:eastAsia="en-US"/>
    </w:rPr>
  </w:style>
  <w:style w:type="table" w:styleId="10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Верхний колонтитул Знак"/>
    <w:basedOn w:val="4"/>
    <w:link w:val="8"/>
    <w:qFormat/>
    <w:uiPriority w:val="99"/>
  </w:style>
  <w:style w:type="character" w:customStyle="1" w:styleId="12">
    <w:name w:val="Нижний колонтитул Знак"/>
    <w:basedOn w:val="4"/>
    <w:link w:val="9"/>
    <w:uiPriority w:val="99"/>
  </w:style>
  <w:style w:type="paragraph" w:customStyle="1" w:styleId="13">
    <w:name w:val="ConsPlusNormal"/>
    <w:link w:val="17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4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5">
    <w:name w:val="ConsPlusCell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16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7">
    <w:name w:val="ConsPlusNormal Знак"/>
    <w:link w:val="13"/>
    <w:locked/>
    <w:uiPriority w:val="0"/>
    <w:rPr>
      <w:rFonts w:ascii="Arial" w:hAnsi="Arial" w:cs="Arial"/>
      <w:sz w:val="20"/>
      <w:szCs w:val="20"/>
      <w:lang w:eastAsia="ru-RU"/>
    </w:rPr>
  </w:style>
  <w:style w:type="character" w:customStyle="1" w:styleId="18">
    <w:name w:val="Заголовок 1 Знак"/>
    <w:basedOn w:val="4"/>
    <w:link w:val="2"/>
    <w:qFormat/>
    <w:uiPriority w:val="0"/>
    <w:rPr>
      <w:b/>
      <w:sz w:val="28"/>
      <w:szCs w:val="20"/>
      <w:lang w:eastAsia="ru-RU"/>
    </w:rPr>
  </w:style>
  <w:style w:type="character" w:customStyle="1" w:styleId="19">
    <w:name w:val="Заголовок 3 Знак"/>
    <w:basedOn w:val="4"/>
    <w:link w:val="3"/>
    <w:qFormat/>
    <w:uiPriority w:val="0"/>
    <w:rPr>
      <w:sz w:val="28"/>
      <w:szCs w:val="20"/>
      <w:lang w:eastAsia="ru-RU"/>
    </w:rPr>
  </w:style>
  <w:style w:type="character" w:customStyle="1" w:styleId="20">
    <w:name w:val="Основной текст с отступом 3 Знак"/>
    <w:basedOn w:val="4"/>
    <w:link w:val="7"/>
    <w:qFormat/>
    <w:uiPriority w:val="0"/>
    <w:rPr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FE354-190D-4D4E-836C-0FF49CA439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15</Pages>
  <Words>3425</Words>
  <Characters>19527</Characters>
  <Lines>162</Lines>
  <Paragraphs>45</Paragraphs>
  <TotalTime>9</TotalTime>
  <ScaleCrop>false</ScaleCrop>
  <LinksUpToDate>false</LinksUpToDate>
  <CharactersWithSpaces>22907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2022-01-26T11:13:00Z</dcterms:created>
  <dc:creator>Гончаров</dc:creator>
  <cp:lastModifiedBy>BraginVV</cp:lastModifiedBy>
  <cp:lastPrinted>2022-01-26T11:41:07Z</cp:lastPrinted>
  <dcterms:modified xsi:type="dcterms:W3CDTF">2022-01-26T11:41:57Z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4E6F4E08FADD414AA71EC07707935F11</vt:lpwstr>
  </property>
</Properties>
</file>