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687" cy="88430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87" cy="88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3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БЕЛОЯРСКИЙ РАЙОН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ХАНТЫ-МАНСИЙСКИЙ АВТОНОМНЫЙ ОКРУГ - ЮГРА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от 3 декабря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№ 825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«Развитие транспортной системы Белоярского района»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i/>
          <w:sz w:val="24"/>
          <w:szCs w:val="24"/>
        </w:rPr>
        <w:outlineLvl w:val="2"/>
      </w:pPr>
      <w:r>
        <w:rPr>
          <w:rFonts w:ascii="Times New Roman" w:hAnsi="Times New Roman" w:cs="Times New Roman"/>
          <w:i/>
          <w:sz w:val="24"/>
          <w:szCs w:val="24"/>
        </w:rPr>
        <w:t xml:space="preserve">(в редакции постановления администрации Белоярского района 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i/>
          <w:sz w:val="24"/>
          <w:szCs w:val="24"/>
        </w:rPr>
        <w:outlineLvl w:val="2"/>
      </w:pPr>
      <w:r>
        <w:rPr>
          <w:rFonts w:ascii="Times New Roman" w:hAnsi="Times New Roman" w:cs="Times New Roman"/>
          <w:i/>
          <w:sz w:val="24"/>
          <w:szCs w:val="24"/>
        </w:rPr>
        <w:t xml:space="preserve">от 1 июля 2025 года №434, от 22 октября 2025 года №679)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i/>
          <w:sz w:val="24"/>
          <w:szCs w:val="24"/>
        </w:rPr>
        <w:outlineLvl w:val="2"/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</w:t>
      </w:r>
      <w:r>
        <w:rPr>
          <w:rFonts w:ascii="Times New Roman" w:hAnsi="Times New Roman" w:cs="Times New Roman"/>
          <w:sz w:val="24"/>
          <w:szCs w:val="24"/>
        </w:rPr>
        <w:t xml:space="preserve">ципальных программ Белоярского района» п о с т а н о в л я 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программу Белоярского района «Развитие транспортной системы Белоярского района».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</w:t>
      </w:r>
      <w:r>
        <w:rPr>
          <w:rFonts w:ascii="Times New Roman" w:hAnsi="Times New Roman" w:cs="Times New Roman"/>
          <w:sz w:val="24"/>
          <w:szCs w:val="24"/>
        </w:rPr>
        <w:t xml:space="preserve">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опубликования, но не ранее 1 января 2025 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66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Ващук В.А.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0"/>
        <w:jc w:val="both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jc w:val="center"/>
        <w:rPr>
          <w:rFonts w:ascii="Times New Roman" w:hAnsi="Times New Roman" w:cs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134" w:left="1261" w:header="708" w:footer="708" w:gutter="0"/>
          <w:cols w:num="1" w:sep="0" w:space="708" w:equalWidth="1"/>
          <w:docGrid w:linePitch="360"/>
        </w:sect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3 декабря 2024 года № 825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«Развитие транспо</w:t>
      </w:r>
      <w:r>
        <w:rPr>
          <w:rFonts w:ascii="Times New Roman" w:hAnsi="Times New Roman"/>
          <w:b/>
          <w:sz w:val="24"/>
          <w:szCs w:val="24"/>
        </w:rPr>
        <w:t xml:space="preserve">ртной системы Белоярского района»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транспортной системы Белоярского района»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44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Основные положения</w:t>
      </w:r>
      <w:r>
        <w:rPr>
          <w:rFonts w:ascii="Times New Roman" w:hAnsi="Times New Roman"/>
          <w:sz w:val="24"/>
          <w:szCs w:val="24"/>
          <w:lang w:val="en-US"/>
        </w:rPr>
      </w:r>
      <w:r>
        <w:rPr>
          <w:rFonts w:ascii="Times New Roman" w:hAnsi="Times New Roman"/>
          <w:sz w:val="24"/>
          <w:szCs w:val="24"/>
          <w:lang w:val="en-US"/>
        </w:rPr>
      </w:r>
    </w:p>
    <w:tbl>
      <w:tblPr>
        <w:tblW w:w="15735" w:type="dxa"/>
        <w:tblInd w:w="-57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0"/>
        <w:gridCol w:w="10065"/>
      </w:tblGrid>
      <w:tr>
        <w:tblPrEx/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Белоя</w:t>
            </w:r>
            <w:r>
              <w:rPr>
                <w:rFonts w:ascii="Times New Roman" w:hAnsi="Times New Roman"/>
              </w:rPr>
              <w:t xml:space="preserve">рского района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по транспорту и связи администрации Белоярского района (далее – УТиС)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2025-2030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16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1 «Развитие совре</w:t>
            </w:r>
            <w:r>
              <w:rPr>
                <w:rFonts w:ascii="Times New Roman" w:hAnsi="Times New Roman"/>
              </w:rPr>
              <w:t xml:space="preserve">менной транспортной инфраструктуры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2 «Создание условий для обеспечения транспортного обслуживания населения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3 «Создание условий для обеспечения безопасности дорожного движения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6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</w:t>
            </w:r>
            <w:r>
              <w:rPr>
                <w:rFonts w:ascii="Times New Roman" w:hAnsi="Times New Roman"/>
              </w:rPr>
              <w:t xml:space="preserve">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«Развитие и совершенствование сети автомобильных дорог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«Организация транспортного обслуживания населения Белоярского 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«Повышение безопасности дорожного движения Белоярского </w:t>
            </w:r>
            <w:r>
              <w:rPr>
                <w:rFonts w:ascii="Times New Roman" w:hAnsi="Times New Roman"/>
              </w:rPr>
              <w:t xml:space="preserve">района».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8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1 197 495,0 тысяч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Комфортная и безопасная среда </w:t>
            </w:r>
            <w:r>
              <w:rPr>
                <w:rFonts w:ascii="Times New Roman" w:hAnsi="Times New Roman"/>
              </w:rPr>
              <w:t xml:space="preserve">для жизни / государственная программа Ханты-Мансийского автономного округа - Югры «Современная транспортная система»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30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735" w:type="dxa"/>
        <w:tblInd w:w="-57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5"/>
        <w:gridCol w:w="2248"/>
        <w:gridCol w:w="992"/>
        <w:gridCol w:w="992"/>
        <w:gridCol w:w="708"/>
        <w:gridCol w:w="851"/>
        <w:gridCol w:w="850"/>
        <w:gridCol w:w="851"/>
        <w:gridCol w:w="850"/>
        <w:gridCol w:w="851"/>
        <w:gridCol w:w="852"/>
        <w:gridCol w:w="2270"/>
        <w:gridCol w:w="1275"/>
        <w:gridCol w:w="1560"/>
      </w:tblGrid>
      <w:tr>
        <w:tblPrEx/>
        <w:trPr>
          <w:trHeight w:val="69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51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2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5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48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sz w:val="20"/>
                <w:szCs w:val="20"/>
                <w:u w:val="single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37"/>
          <w:tblHeader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Цель 1 "Развитие современной транспортной инфраструктуры Белоярского района"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Протяженность сети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184,47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1,05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.2021 года №636-п «О мерах по реализации государственной программы Ханты-Мансийского автономного округа - Югры «Современная транспортная система»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капитальноо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строительства администрации Белоярского района (далее - УКС)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30.12.2021 года №636-п «О мерах по реализации государственной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152,32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0,81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30.12.2021 года № 636-п «О мерах по реализации 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сударственной программы Ханты-Мансийского автономного округа - Югры «Современная транспортная система»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Доля автомобильных дорог общего пользования местного значения, соответствующих нормативным требованиям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к транспортно-эксплуатационным показателям,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82,57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82,9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84,8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Постановление Правительства ХМАО-Югры от 10.11.2023 года № 559-п «О государственной программе Ханты-Мансийского автономного округа - Югры «Современная транспортная система»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увеличение к 2030 году доли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соответсвующих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нормативным требованиям автомобил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ьных дорого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Количество реализованных мероприятий плана социального развития центров экономического роста ХМАО-Югры, входящих в состав Арктической зоны Российской Федерации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Распоряжение Губернатора ХМАО-Югры от 25.12.2024 года №353-рг «О Плане социального развития центров экономического роста Ханты-Мансийского автономного округа – Югры»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Цель 2 «Создание условий для обеспечения транспортного обслуживания населения Белоярского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воздушного транспорта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личество рейсов автомобильного транспорта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водного транспорта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Цель 3 «Создание услов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/>
              </w:rPr>
              <w:t xml:space="preserve">ий для обеспечения безопасности дорожного движения Белоярского района»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Протяженность обслуживаемой улично-дорожной сети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 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Решение Думы Белоярского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района  от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zh-CN" w:bidi="ar"/>
              </w:rPr>
              <w:t xml:space="preserve">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парковок и стоянок автотранспорта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дорожных знаков на улично-дорожной сети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1665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нанесенной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дорожной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разметки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648"/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 w:eastAsia="zh-CN" w:bidi="ar"/>
              </w:rPr>
              <w:t xml:space="preserve">м</w:t>
            </w:r>
            <w:r>
              <w:rPr>
                <w:rStyle w:val="649"/>
                <w:rFonts w:ascii="Times New Roman" w:hAnsi="Times New Roman" w:eastAsia="Times New Roman" w:cs="Times New Roman"/>
                <w:sz w:val="20"/>
                <w:szCs w:val="20"/>
                <w:highlight w:val="white"/>
                <w:lang w:val="en-US" w:eastAsia="zh-CN" w:bidi="ar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Количество светофорных объектов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(групп светофоров) на улично-дорожной сети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штук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val="en-US" w:eastAsia="zh-CN"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63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pageBreakBefore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jc w:val="center"/>
        <w:pageBreakBefore w:val="0"/>
        <w:spacing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5437" w:type="dxa"/>
        <w:tblInd w:w="-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3905"/>
        <w:gridCol w:w="4525"/>
        <w:gridCol w:w="6298"/>
      </w:tblGrid>
      <w:tr>
        <w:tblPrEx/>
        <w:trPr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4525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298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Связь с показателями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1"/>
          <w:tblHeader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4525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298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44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textDirection w:val="lrTb"/>
            <w:noWrap w:val="false"/>
          </w:tcPr>
          <w:p>
            <w:pPr>
              <w:pStyle w:val="644"/>
              <w:ind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Направление (подпрограмма)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Развитие и совершенствование сети автомобильных дорог Белоярского района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textDirection w:val="lrTb"/>
            <w:noWrap w:val="false"/>
          </w:tcPr>
          <w:p>
            <w:pPr>
              <w:pStyle w:val="644"/>
              <w:ind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Региональный проект «Государственная поддержка реализации на территории Арктической зоны Российской Федерации инвестиционных проектов»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Ответственный за реализацию: УКС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0824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1.1.1.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Капитальный ремонт и ремонт автомобильных дорог общего пользования местного значения Белоярского района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452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Реализации мероприятий плана социального развития центров экономического роста Ханты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-М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ансийского автономного округа-Югры, входящих в состав Арктической зоны Российской Федерации.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298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оличество реализованных мероприятий плана социального развития центров экономического роста ХМАО-Югры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textDirection w:val="lrTb"/>
            <w:noWrap w:val="false"/>
          </w:tcPr>
          <w:p>
            <w:pPr>
              <w:pStyle w:val="644"/>
              <w:ind w:firstLine="0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Комплекс процессных мероприятий «Строительство (реконструкция), капитальный ремонт и ремонт автомобильных дорог общего пользования местного значения»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УКС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0824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1.2.1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Строительство, реконструкция, капиталь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ный ремонт и ремонт автомобильных дорог общего пользования местного значения Белоярского района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452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Увеличение протяженности сети дорог местного значения, соответствующих нормативным требованиям к транспортно-эксплуатационным показателям, в результате строител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ьства, реконструкции, капитального ремонта и ремонта автомобильных дорог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общего пользования местного значения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6298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Протяженность сети автомобильных дорог общего пользования местного значения;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Прирост протяженности сети автомобильных дорог общего пользования 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стного значения в результате строительства новых автомобильных дорог;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Прирост протяженности автомобильных дорог общего пользования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местного значения, соответствующих нормативным требованиям к транспортно-эксплуатационным показателям, в результате реконстру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кции автомобильных дорог;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1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Направление (подпрограмма) «Организация транспортного обслуживания населения Белоярского района»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trHeight w:val="93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Комплекс процессных мероприятий «Создание условий для предоставле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ния транспортных услуг, организации транспортного обслуживания населения Белоярского района»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trHeight w:val="185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0824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2.1.1.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Содействие организации регулярных п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еревозок пассажиров и багажа автомобильным (кроме такси), воздушным и водным транспортом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4525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Созданы условия для обеспечения потребности населения в регулярных пассажирских перевозках автомобильным, воздушным, водным транспортом, в том числе за счет предоставл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ения субсидий  юридическим лицам, индивидуальным предпринимателям, а также физическим лицам: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- оказывающим населению услуги по перевозке пассажиров и багажа воздушным транспортом между поселениями в границах Белоярского района;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- оказывающим населению услу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ги по перевозке пассажиров и багажа речным транспортом между поселениями в границах Белоярского района.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Обеспечено осуществление регулярных перевозок пассажиров и багажа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автомобильным транспортом по муниципальным маршрутам по регулируемым тарифам.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Обеспече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но обслуживание посадочных площадок для вертолетов в сельских поселениях в границах Белоярского района.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</w:p>
        </w:tc>
        <w:tc>
          <w:tcPr>
            <w:tcW w:w="6298" w:type="dxa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 воздушного транспорта в год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Количество рейсов автомобильного транспорта в год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рейсооборотов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 водного транспорта в год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Направление (подпрограмма) «Повышение безопасности дорожного движения Белоярского района»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trHeight w:val="28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728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Комплекс процессных мероприятий «Создание условий для обеспечения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blPrEx/>
        <w:trPr>
          <w:trHeight w:val="156"/>
        </w:trPr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Ответственный за реализацию: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0824" w:type="dxa"/>
            <w:textDirection w:val="lrTb"/>
            <w:noWrap w:val="false"/>
          </w:tcPr>
          <w:p>
            <w:pPr>
              <w:pStyle w:val="644"/>
              <w:ind w:firstLine="0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Срок реализации: 2025-2030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644"/>
              <w:ind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3.1.1.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905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Содействие в обеспечение безопасного дорож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ного движения на автомобильных дорогах общего пользования местного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значения  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 городе Белоярский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4525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Обустройство и содержание автомобильных дорог общего пользования местного 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значения  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 городе Белоярский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tcW w:w="6298" w:type="dxa"/>
            <w:vAlign w:val="center"/>
            <w:textDirection w:val="lrTb"/>
            <w:noWrap w:val="false"/>
          </w:tcPr>
          <w:p>
            <w:pPr>
              <w:ind w:firstLine="0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Протяженность обслуживаемой улично-дорожной сети;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t xml:space="preserve">ество парковок и стоянок автотранспорта;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Количество дорожных знаков на улично-дорожной сети;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Количество нанесенной дорожной разметки;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zh-CN" w:bidi="ar"/>
              </w:rPr>
              <w:br/>
              <w:t xml:space="preserve">Количество светофорных объектов (групп светофоров) на улично-дорожной сети.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</w:tbl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</w:t>
      </w:r>
      <w:r>
        <w:rPr>
          <w:rFonts w:ascii="Times New Roman" w:hAnsi="Times New Roman"/>
          <w:sz w:val="24"/>
          <w:szCs w:val="24"/>
        </w:rPr>
        <w:t xml:space="preserve">аммы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1034"/>
        <w:gridCol w:w="900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ff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ff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ff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333 703,4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246 087,3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243 637,3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1 197 495,0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21 787,5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37 773,0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59 560,5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110 450,4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336 451,3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198 915,8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97 863,9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130 636,5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124 689,0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801 483,2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2 634,6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140 735,2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154 036,6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294 771,8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21 787,5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37 773,0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59 560,5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110 450,4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223 450,5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5 947,6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5 813,2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11 760,8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11 989,5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118 948,3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131 090,9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11 989,5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5 947,5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18 090,1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2 070,4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9 919,1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118 948,3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129 020,5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113 000,8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9 919,1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153,1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5 947,5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16 019,7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100 991,8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9 919,0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270 970,8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100 991,8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9 919,0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40 015,0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270 970,8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 ,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55 481,5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6 502,5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163 566,4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55 481,5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6 502,5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25 395,6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163 566,4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31 517,2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3 179,5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53 152,7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bookmarkStart w:id="0" w:name="undefined"/>
            <w:r>
              <w:rPr>
                <w:sz w:val="20"/>
                <w:szCs w:val="20"/>
                <w:highlight w:val="white"/>
              </w:rPr>
            </w:r>
            <w:bookmarkEnd w:id="0"/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31 517,2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3 179,5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4 614,0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53 152,7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11 281,0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40 554,2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11 281,0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7 293,3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40 554,2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137,0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13 697,5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137,0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2 712,1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13 697,5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1_40656"/>
              <w:ind w:left="113" w:right="113"/>
              <w:jc w:val="left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79 986,9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34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81 978,6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84 674,0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1_40656"/>
              <w:shd w:val="clear" w:color="ffffff" w:themeColor="background1" w:fill="ffffff" w:themeFill="background1"/>
              <w:rPr>
                <w:rFonts w:eastAsia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500 661,5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63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к муниципальной программе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создаваемых (реконструируемых), приобретаемых объектов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9"/>
        <w:gridCol w:w="2949"/>
        <w:gridCol w:w="1031"/>
        <w:gridCol w:w="1681"/>
        <w:gridCol w:w="1819"/>
        <w:gridCol w:w="1536"/>
        <w:gridCol w:w="1725"/>
        <w:gridCol w:w="3684"/>
      </w:tblGrid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9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объекта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Мощно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строительства, проектирования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Механизм реализации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Капитальные вложения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Планируемый объем инвестиций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(тыс.руб.)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9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auto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49" w:type="auto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стационарного электроосвещения автомобильных дорог г.Белоярский (ул.Водозаборная)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SimSun"/>
                <w:color w:val="000000"/>
                <w:sz w:val="20"/>
                <w:szCs w:val="20"/>
                <w:lang w:eastAsia="zh-CN" w:bidi="ar"/>
              </w:rPr>
              <w:t xml:space="preserve">1,048  км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год (ПИР)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(СМР)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прямые инвестиции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бюджетные инвестиции в форме капитальных вложений в объекты муниципальной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собственности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auto"/>
            <w:vAlign w:val="top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4" w:type="dxa"/>
            <w:vAlign w:val="top"/>
            <w:vMerge w:val="restart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определяется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проектированием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49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auto"/>
            <w:vAlign w:val="top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684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9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auto"/>
            <w:vAlign w:val="top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vMerge w:val="continue"/>
            <w:textDirection w:val="lrTb"/>
            <w:noWrap w:val="false"/>
          </w:tcPr>
          <w:p>
            <w:pPr>
              <w:pStyle w:val="63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630"/>
      </w:pPr>
      <w:r/>
      <w:r/>
    </w:p>
    <w:p>
      <w:pPr>
        <w:pStyle w:val="63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1134" w:bottom="74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paragraph" w:styleId="631">
    <w:name w:val="Заголовок 1"/>
    <w:basedOn w:val="630"/>
    <w:next w:val="630"/>
    <w:link w:val="630"/>
    <w:qFormat/>
    <w:pPr>
      <w:jc w:val="center"/>
      <w:keepNext/>
      <w:outlineLvl w:val="0"/>
    </w:pPr>
    <w:rPr>
      <w:b/>
      <w:sz w:val="28"/>
    </w:rPr>
  </w:style>
  <w:style w:type="paragraph" w:styleId="632">
    <w:name w:val="Заголовок 2"/>
    <w:basedOn w:val="630"/>
    <w:next w:val="630"/>
    <w:link w:val="630"/>
    <w:qFormat/>
    <w:pPr>
      <w:jc w:val="center"/>
      <w:keepNext/>
      <w:outlineLvl w:val="1"/>
    </w:pPr>
    <w:rPr>
      <w:b/>
      <w:sz w:val="24"/>
    </w:rPr>
  </w:style>
  <w:style w:type="paragraph" w:styleId="633">
    <w:name w:val="Заголовок 3"/>
    <w:basedOn w:val="630"/>
    <w:next w:val="630"/>
    <w:link w:val="630"/>
    <w:qFormat/>
    <w:pPr>
      <w:jc w:val="center"/>
      <w:keepNext/>
      <w:outlineLvl w:val="2"/>
    </w:pPr>
    <w:rPr>
      <w:sz w:val="28"/>
    </w:rPr>
  </w:style>
  <w:style w:type="character" w:styleId="634">
    <w:name w:val="Основной шрифт абзаца"/>
    <w:next w:val="634"/>
    <w:link w:val="630"/>
    <w:uiPriority w:val="1"/>
    <w:semiHidden/>
    <w:unhideWhenUsed/>
  </w:style>
  <w:style w:type="table" w:styleId="635">
    <w:name w:val="Обычная таблица"/>
    <w:next w:val="635"/>
    <w:link w:val="630"/>
    <w:uiPriority w:val="99"/>
    <w:semiHidden/>
    <w:unhideWhenUsed/>
    <w:tblPr/>
  </w:style>
  <w:style w:type="numbering" w:styleId="636">
    <w:name w:val="Нет списка"/>
    <w:next w:val="636"/>
    <w:link w:val="630"/>
    <w:uiPriority w:val="99"/>
    <w:semiHidden/>
    <w:unhideWhenUsed/>
  </w:style>
  <w:style w:type="character" w:styleId="637">
    <w:name w:val="Знак сноски"/>
    <w:next w:val="637"/>
    <w:link w:val="630"/>
    <w:uiPriority w:val="99"/>
    <w:unhideWhenUsed/>
    <w:rPr>
      <w:vertAlign w:val="superscript"/>
    </w:rPr>
  </w:style>
  <w:style w:type="paragraph" w:styleId="638">
    <w:name w:val="Текст выноски"/>
    <w:basedOn w:val="630"/>
    <w:next w:val="638"/>
    <w:link w:val="6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39">
    <w:name w:val="Основной текст с отступом 3"/>
    <w:basedOn w:val="630"/>
    <w:next w:val="639"/>
    <w:link w:val="630"/>
    <w:qFormat/>
    <w:pPr>
      <w:jc w:val="center"/>
    </w:pPr>
    <w:rPr>
      <w:sz w:val="24"/>
    </w:rPr>
  </w:style>
  <w:style w:type="paragraph" w:styleId="640">
    <w:name w:val="Текст концевой сноски"/>
    <w:basedOn w:val="630"/>
    <w:next w:val="640"/>
    <w:link w:val="646"/>
    <w:uiPriority w:val="99"/>
    <w:unhideWhenUsed/>
    <w:pPr>
      <w:spacing w:after="0" w:line="240" w:lineRule="auto"/>
    </w:pPr>
    <w:rPr>
      <w:sz w:val="20"/>
      <w:szCs w:val="20"/>
    </w:rPr>
  </w:style>
  <w:style w:type="paragraph" w:styleId="641">
    <w:name w:val="Текст сноски"/>
    <w:basedOn w:val="630"/>
    <w:next w:val="641"/>
    <w:link w:val="64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642">
    <w:name w:val="Верхний колонтитул"/>
    <w:basedOn w:val="630"/>
    <w:next w:val="642"/>
    <w:link w:val="65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43">
    <w:name w:val="Нижний колонтитул"/>
    <w:basedOn w:val="630"/>
    <w:next w:val="643"/>
    <w:link w:val="65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44">
    <w:name w:val="ConsPlusNormal"/>
    <w:next w:val="644"/>
    <w:link w:val="63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45">
    <w:name w:val="ConsPlusNonformat"/>
    <w:next w:val="645"/>
    <w:link w:val="63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46">
    <w:name w:val="Текст концевой сноски Знак"/>
    <w:next w:val="646"/>
    <w:link w:val="640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647">
    <w:name w:val="Текст сноски Знак"/>
    <w:next w:val="647"/>
    <w:link w:val="641"/>
    <w:uiPriority w:val="99"/>
    <w:qFormat/>
    <w:rPr>
      <w:rFonts w:ascii="Calibri" w:hAnsi="Calibri" w:eastAsia="Calibri" w:cs="Times New Roman"/>
      <w:sz w:val="20"/>
      <w:szCs w:val="20"/>
    </w:rPr>
  </w:style>
  <w:style w:type="character" w:styleId="648">
    <w:name w:val="font11"/>
    <w:next w:val="648"/>
    <w:link w:val="630"/>
    <w:rPr>
      <w:rFonts w:ascii="Times New Roman" w:hAnsi="Times New Roman" w:cs="Times New Roman"/>
      <w:color w:val="000000"/>
      <w:u w:val="none"/>
    </w:rPr>
  </w:style>
  <w:style w:type="character" w:styleId="649">
    <w:name w:val="font31"/>
    <w:next w:val="649"/>
    <w:link w:val="630"/>
    <w:rPr>
      <w:rFonts w:ascii="Calibri" w:hAnsi="Calibri" w:cs="Calibri"/>
      <w:color w:val="000000"/>
      <w:u w:val="none"/>
    </w:rPr>
  </w:style>
  <w:style w:type="character" w:styleId="650">
    <w:name w:val="Текст выноски Знак"/>
    <w:next w:val="650"/>
    <w:link w:val="638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Верхний колонтитул Знак"/>
    <w:next w:val="651"/>
    <w:link w:val="642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652">
    <w:name w:val="Нижний колонтитул Знак"/>
    <w:next w:val="652"/>
    <w:link w:val="643"/>
    <w:uiPriority w:val="99"/>
    <w:qFormat/>
    <w:rPr>
      <w:rFonts w:ascii="Calibri" w:hAnsi="Calibri" w:eastAsia="Calibri"/>
      <w:sz w:val="22"/>
      <w:szCs w:val="22"/>
      <w:lang w:eastAsia="en-US"/>
    </w:rPr>
  </w:style>
  <w:style w:type="character" w:styleId="7610" w:default="1">
    <w:name w:val="Default Paragraph Font"/>
    <w:uiPriority w:val="1"/>
    <w:semiHidden/>
    <w:unhideWhenUsed/>
  </w:style>
  <w:style w:type="numbering" w:styleId="7611" w:default="1">
    <w:name w:val="No List"/>
    <w:uiPriority w:val="99"/>
    <w:semiHidden/>
    <w:unhideWhenUsed/>
  </w:style>
  <w:style w:type="table" w:styleId="7612" w:default="1">
    <w:name w:val="Normal Table"/>
    <w:uiPriority w:val="99"/>
    <w:semiHidden/>
    <w:unhideWhenUsed/>
    <w:tblPr/>
  </w:style>
  <w:style w:type="paragraph" w:styleId="1_40656" w:customStyle="1">
    <w:name w:val="Обычный (веб)"/>
    <w:basedOn w:val="689"/>
    <w:unhideWhenUsed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BordunAO</cp:lastModifiedBy>
  <cp:revision>5</cp:revision>
  <dcterms:created xsi:type="dcterms:W3CDTF">2024-12-04T06:08:00Z</dcterms:created>
  <dcterms:modified xsi:type="dcterms:W3CDTF">2025-11-10T10:07:03Z</dcterms:modified>
  <cp:version>1048576</cp:version>
</cp:coreProperties>
</file>