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совместного заседания Антитеррористической</w:t>
      </w:r>
    </w:p>
    <w:p>
      <w:pPr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комиссии и Оперативной группы Белоярского района № </w:t>
      </w:r>
      <w:r>
        <w:rPr>
          <w:rFonts w:hint="default" w:ascii="Times New Roman" w:hAnsi="Times New Roman"/>
          <w:sz w:val="24"/>
          <w:szCs w:val="24"/>
          <w:lang w:val="ru-RU"/>
        </w:rPr>
        <w:t>67</w:t>
      </w:r>
      <w:r>
        <w:rPr>
          <w:rFonts w:ascii="Times New Roman" w:hAnsi="Times New Roman"/>
          <w:sz w:val="24"/>
          <w:szCs w:val="24"/>
        </w:rPr>
        <w:t xml:space="preserve">  /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56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«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 »  декабря 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pStyle w:val="6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работы антитеррористической комиссии </w:t>
      </w:r>
    </w:p>
    <w:p>
      <w:pPr>
        <w:pStyle w:val="6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Белоярского района на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Вводная часть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угрозообразующие факторы, оказывающие влияние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развитие обстановки на территории Белоярского района, меры, принятые в текущем году по их локализации и нейтрализации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Социально-экономическую и общественно-политическую обстановку на территории Белоярского района, в 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году, можно характеризовать, как благоприятную и стабильную. Преступлений, относящихся к проявлениям террористического и экстремистского характера, а также преступлений против основ конституционного строя и безопасности государства на территории Белоярского района не зарегистрировано.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Основными угрозообразующими факторами для возможного возникновения проявлений террористического характера являются: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 нахождение и функционирование на территории Белоярского района критически-важных и потенциально-опасных объектов федерального и регионального уровня значимости;</w:t>
      </w:r>
    </w:p>
    <w:p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миграционные процессы, связанные с приездом на территорию Белоярского района лиц из территорий среднеазиатского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северокавказкого регионов</w:t>
      </w:r>
      <w:r>
        <w:rPr>
          <w:rFonts w:hint="default" w:ascii="Times New Roman" w:hAnsi="Times New Roman"/>
          <w:sz w:val="24"/>
          <w:szCs w:val="24"/>
          <w:lang w:val="ru-RU"/>
        </w:rPr>
        <w:t>, возможные потоки беженцев из зоны проведения специальной военной операции, большое количество выходцев из Украины длительное время проживающих в районе;</w:t>
      </w:r>
    </w:p>
    <w:p>
      <w:p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 распространение информационных материалов в сфере идеологии терроризма в сети Интернет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 территории Белоярского района расположен</w:t>
      </w:r>
      <w:r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</w:rPr>
        <w:t>, включенны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«Реестр объектов возможных террористических посягательств, расположенных на территории ХМАО – Югры».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В Белоярском районе не выявлялись факты нахождения организаций и отдельных лиц, в деятельности которых усматривались признаки экстремистской и террористической </w:t>
      </w:r>
      <w:r>
        <w:rPr>
          <w:rFonts w:ascii="Times New Roman" w:hAnsi="Times New Roman"/>
          <w:bCs/>
          <w:sz w:val="24"/>
          <w:szCs w:val="24"/>
          <w:lang w:val="ru-RU"/>
        </w:rPr>
        <w:t>угрозы</w:t>
      </w:r>
      <w:r>
        <w:rPr>
          <w:rFonts w:ascii="Times New Roman" w:hAnsi="Times New Roman"/>
          <w:bCs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На территории Белоярского района не установлено факта проживания лиц, ранее отбывавших наказание за преступления экстремистского и террористического характера.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В Белоярском районе не изымались и не выявлялись </w:t>
      </w:r>
      <w:r>
        <w:rPr>
          <w:rFonts w:ascii="Times New Roman" w:hAnsi="Times New Roman"/>
          <w:bCs/>
          <w:sz w:val="24"/>
          <w:szCs w:val="24"/>
          <w:lang w:val="ru-RU"/>
        </w:rPr>
        <w:t>информационные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материалы, пропагандирующие идеи и взгляды террористического и экстремистского характера.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В 202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году на территории Белоярского района </w:t>
      </w:r>
      <w:r>
        <w:rPr>
          <w:rFonts w:ascii="Times New Roman" w:hAnsi="Times New Roman"/>
          <w:bCs/>
          <w:sz w:val="24"/>
          <w:szCs w:val="24"/>
          <w:lang w:val="ru-RU"/>
        </w:rPr>
        <w:t>предполагается</w:t>
      </w:r>
      <w:r>
        <w:rPr>
          <w:rFonts w:ascii="Times New Roman" w:hAnsi="Times New Roman"/>
          <w:bCs/>
          <w:sz w:val="24"/>
          <w:szCs w:val="24"/>
        </w:rPr>
        <w:t xml:space="preserve"> пров</w:t>
      </w:r>
      <w:r>
        <w:rPr>
          <w:rFonts w:ascii="Times New Roman" w:hAnsi="Times New Roman"/>
          <w:bCs/>
          <w:sz w:val="24"/>
          <w:szCs w:val="24"/>
          <w:lang w:val="ru-RU"/>
        </w:rPr>
        <w:t>едение</w:t>
      </w:r>
      <w:r>
        <w:rPr>
          <w:rFonts w:ascii="Times New Roman" w:hAnsi="Times New Roman"/>
          <w:bCs/>
          <w:sz w:val="24"/>
          <w:szCs w:val="24"/>
        </w:rPr>
        <w:t xml:space="preserve"> значимы</w:t>
      </w:r>
      <w:r>
        <w:rPr>
          <w:rFonts w:ascii="Times New Roman" w:hAnsi="Times New Roman"/>
          <w:bCs/>
          <w:sz w:val="24"/>
          <w:szCs w:val="24"/>
          <w:lang w:val="ru-RU"/>
        </w:rPr>
        <w:t>х</w:t>
      </w:r>
      <w:r>
        <w:rPr>
          <w:rFonts w:ascii="Times New Roman" w:hAnsi="Times New Roman"/>
          <w:bCs/>
          <w:sz w:val="24"/>
          <w:szCs w:val="24"/>
        </w:rPr>
        <w:t xml:space="preserve"> мероприяти</w:t>
      </w:r>
      <w:r>
        <w:rPr>
          <w:rFonts w:ascii="Times New Roman" w:hAnsi="Times New Roman"/>
          <w:bCs/>
          <w:sz w:val="24"/>
          <w:szCs w:val="24"/>
          <w:lang w:val="ru-RU"/>
        </w:rPr>
        <w:t>й</w:t>
      </w:r>
      <w:r>
        <w:rPr>
          <w:rFonts w:ascii="Times New Roman" w:hAnsi="Times New Roman"/>
          <w:bCs/>
          <w:sz w:val="24"/>
          <w:szCs w:val="24"/>
        </w:rPr>
        <w:t>, на которых предполагается массовое пребывание людей: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День победы в ВОВ, День России, День знаний,  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выборы депутатов Думы Белоярского района, </w:t>
      </w:r>
      <w:r>
        <w:rPr>
          <w:rFonts w:ascii="Times New Roman" w:hAnsi="Times New Roman"/>
          <w:bCs/>
          <w:sz w:val="24"/>
          <w:szCs w:val="24"/>
        </w:rPr>
        <w:t>новогодние праздники.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Cs w:val="24"/>
        </w:rPr>
        <w:tab/>
      </w:r>
      <w:r>
        <w:rPr>
          <w:rFonts w:ascii="Times New Roman" w:hAnsi="Times New Roman"/>
          <w:sz w:val="24"/>
          <w:szCs w:val="24"/>
        </w:rPr>
        <w:t>В 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году к основным задачам антитеррористической комиссии Белоярского района относятся: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организация взаимодействия между субъектами профилактики терроризма;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результатов</w:t>
      </w:r>
      <w:r>
        <w:rPr>
          <w:rFonts w:ascii="Times New Roman" w:hAnsi="Times New Roman"/>
          <w:sz w:val="24"/>
          <w:szCs w:val="24"/>
        </w:rPr>
        <w:t xml:space="preserve"> обследований объектов, находящихся в введении органов местного самоуправления, на соответствие требованиям антитеррористической защищенности,</w:t>
      </w:r>
      <w:r>
        <w:rPr>
          <w:rFonts w:ascii="Times New Roman" w:hAnsi="Times New Roman"/>
          <w:sz w:val="24"/>
          <w:szCs w:val="24"/>
          <w:lang w:val="ru-RU"/>
        </w:rPr>
        <w:t>установленными</w:t>
      </w:r>
      <w:r>
        <w:rPr>
          <w:rFonts w:ascii="Times New Roman" w:hAnsi="Times New Roman"/>
          <w:sz w:val="24"/>
          <w:szCs w:val="24"/>
        </w:rPr>
        <w:t xml:space="preserve"> действующим законодательством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РФ</w:t>
      </w:r>
      <w:r>
        <w:rPr>
          <w:rFonts w:ascii="Times New Roman" w:hAnsi="Times New Roman"/>
          <w:sz w:val="24"/>
          <w:szCs w:val="24"/>
        </w:rPr>
        <w:t>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принятие мер к антитеррористической защищенности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объектов</w:t>
      </w:r>
      <w:r>
        <w:rPr>
          <w:rFonts w:hint="default" w:ascii="Times New Roman" w:hAnsi="Times New Roman"/>
          <w:sz w:val="24"/>
          <w:szCs w:val="24"/>
          <w:lang w:val="ru-RU"/>
        </w:rPr>
        <w:t>, находящихся в введении органов местного самоуправления Белоярского района</w:t>
      </w:r>
      <w:r>
        <w:rPr>
          <w:rFonts w:ascii="Times New Roman" w:hAnsi="Times New Roman"/>
          <w:sz w:val="24"/>
          <w:szCs w:val="24"/>
        </w:rPr>
        <w:t>, в соответствии с требованиями действующего законодательства РФ;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информационно-пропагандистское сопровождение антитеррористической деятельности, противодействие идеологии терроризма и экстремизма.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 Вопросы, рассматриваемые на заседании Антитеррористической комиссии Белоярского района.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15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652"/>
        <w:gridCol w:w="686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6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5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68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3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рассмотрения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 мерах по обеспечению антитеррористической защищенности объектов транспортной инфраструктуры и транспортных средств в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Белоярском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районе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реализации требований Федерального закона </w:t>
            </w:r>
            <w:r>
              <w:rPr>
                <w:rFonts w:ascii="Times New Roman" w:hAnsi="Times New Roman"/>
                <w:sz w:val="24"/>
                <w:szCs w:val="28"/>
              </w:rPr>
              <w:br w:type="textWrapping"/>
            </w:r>
            <w:r>
              <w:rPr>
                <w:rFonts w:ascii="Times New Roman" w:hAnsi="Times New Roman"/>
                <w:sz w:val="24"/>
                <w:szCs w:val="28"/>
              </w:rPr>
              <w:t>от 9 февраля 2007 года № 16-ФЗ «О транспортной безопасности»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Представители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объектов транспортной инфраструктуры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(по согласованию)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 реализации требований постановлений Правительства Российской Федерации от 11 февраля 2017 года № 176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vertAlign w:val="superscript"/>
              </w:rPr>
              <w:footnoteReference w:id="0"/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и от 6 марта 2015 года № 202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vertAlign w:val="superscript"/>
              </w:rPr>
              <w:footnoteReference w:id="1"/>
            </w:r>
          </w:p>
        </w:tc>
        <w:tc>
          <w:tcPr>
            <w:tcW w:w="6860" w:type="dxa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делам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молодежи, физической культуре и спорту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1731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652" w:type="dxa"/>
            <w:vAlign w:val="top"/>
          </w:tcPr>
          <w:p>
            <w:pPr>
              <w:widowControl w:val="0"/>
              <w:spacing w:after="0" w:line="240" w:lineRule="auto"/>
              <w:ind w:firstLine="17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Об итогах 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в 2024 году мероприятий Комплексного плана по противодействию идеологии терроризма в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  <w:t>Белоярском</w:t>
            </w:r>
            <w:r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  <w:t xml:space="preserve"> районе</w:t>
            </w:r>
          </w:p>
        </w:tc>
        <w:tc>
          <w:tcPr>
            <w:tcW w:w="6860" w:type="dxa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31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52" w:type="dxa"/>
            <w:vAlign w:val="top"/>
          </w:tcPr>
          <w:p>
            <w:pPr>
              <w:widowControl w:val="0"/>
              <w:spacing w:after="0" w:line="240" w:lineRule="auto"/>
              <w:ind w:firstLine="17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 исполнении ранее принятых решений АТК Белоярского района, Антитеррористической комиссии и Оперативного штаба в Ханты-Мансийском автономном округе – Югре</w:t>
            </w:r>
          </w:p>
        </w:tc>
        <w:tc>
          <w:tcPr>
            <w:tcW w:w="6860" w:type="dxa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31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52" w:type="dxa"/>
            <w:vAlign w:val="top"/>
          </w:tcPr>
          <w:p>
            <w:pPr>
              <w:widowControl w:val="0"/>
              <w:spacing w:after="0" w:line="240" w:lineRule="auto"/>
              <w:ind w:firstLine="170" w:firstLineChars="0"/>
              <w:jc w:val="both"/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Об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итогах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деятельности оперативной группы в МО «Белоярский район» за 2024 год</w:t>
            </w:r>
          </w:p>
        </w:tc>
        <w:tc>
          <w:tcPr>
            <w:tcW w:w="6860" w:type="dxa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начальник ОМВД России по Белоярскому району</w:t>
            </w:r>
          </w:p>
        </w:tc>
        <w:tc>
          <w:tcPr>
            <w:tcW w:w="1731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 в Белоярском районе, готовности сил и средств Оперативной группы Белоярского района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Оперативной группы Белоярского района 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ачальник ОМВД России по Белоярскому району;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white"/>
              </w:rPr>
              <w:t>О реализации требований постановлений Правительства Российской</w:t>
            </w:r>
            <w:r>
              <w:rPr>
                <w:rFonts w:hint="default" w:ascii="Times New Roman" w:hAnsi="Times New Roman"/>
                <w:color w:val="000000" w:themeColor="text1"/>
                <w:sz w:val="23"/>
                <w:szCs w:val="23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white"/>
              </w:rPr>
              <w:t>Федерации</w:t>
            </w:r>
            <w:r>
              <w:rPr>
                <w:rFonts w:hint="default" w:ascii="Times New Roman" w:hAnsi="Times New Roman"/>
                <w:color w:val="000000" w:themeColor="text1"/>
                <w:sz w:val="23"/>
                <w:szCs w:val="23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white"/>
              </w:rPr>
              <w:t xml:space="preserve">и от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white"/>
                <w:lang w:val="en-US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white"/>
              </w:rPr>
              <w:t xml:space="preserve"> апреля 2017 года № 447</w:t>
            </w:r>
            <w:r>
              <w:rPr>
                <w:rStyle w:val="4"/>
                <w:rFonts w:ascii="Times New Roman" w:hAnsi="Times New Roman"/>
                <w:color w:val="000000" w:themeColor="text1"/>
                <w:sz w:val="23"/>
                <w:szCs w:val="23"/>
                <w:highlight w:val="white"/>
              </w:rPr>
              <w:footnoteReference w:id="2"/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решений  антитеррористической комиссии ХМАО – Югры и антитеррористической комиссии Белоярского района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white"/>
              </w:rPr>
              <w:t>О реализации требований постановлений Правительства Российской Федерации от 2 августа 2019 года № 1006</w:t>
            </w:r>
            <w:r>
              <w:rPr>
                <w:rStyle w:val="4"/>
                <w:rFonts w:ascii="Times New Roman" w:hAnsi="Times New Roman"/>
                <w:color w:val="000000" w:themeColor="text1"/>
                <w:sz w:val="23"/>
                <w:szCs w:val="23"/>
                <w:highlight w:val="white"/>
              </w:rPr>
              <w:footnoteReference w:id="3"/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 по образованию администрации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людей на территории Белоярского района, готовности сил и средств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начальник ОМВД России по Белоярскому району;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решений, антитеррористической комиссии ХМАО – Югры и антитеррористической комиссии Белоярского района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реализации в 1 полугодии 2025 года мероприятий Комплексного плана по противодействию идеологии терроризма в ХМАО - Югре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уководитель аппарата АТК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реализации требований Федерального закона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 21 июля 2011 года № 256-ФЗ «О безопасности объектов топливно-энергетического комплекса»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Руководитель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центральной городской котельной города Белоярский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людей на территории Белоярского района, готовности сил и средств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начальник ОМВД России по Белоярскому району;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 исполнении в 202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году «Плана комплексных мероприятий по профилактике терроризма и реализации на территории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Белоярского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Концепции противодействия терроризму в Российской Федерации на 2021-2025 годы»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, реализации муниципальной программы Белоярского района «Профилактика терроризма и правонарушений в сфере общественного порядка»</w:t>
            </w:r>
          </w:p>
        </w:tc>
        <w:tc>
          <w:tcPr>
            <w:tcW w:w="6860" w:type="dxa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Антитеррористической комиссии Белоярского района на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Примечание: возможна корректировка Плана, в связи с дополнительными предложениями субъектов профилактики терроризма и  рекомендациями АТК ХМАО – Югры</w:t>
      </w:r>
      <w:r>
        <w:rPr>
          <w:rFonts w:ascii="Times New Roman" w:hAnsi="Times New Roman"/>
        </w:rPr>
        <w:t>.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</w:pPr>
      <w:bookmarkStart w:id="0" w:name="_GoBack"/>
      <w:bookmarkEnd w:id="0"/>
    </w:p>
    <w:sectPr>
      <w:pgSz w:w="16838" w:h="11906" w:orient="landscape"/>
      <w:pgMar w:top="709" w:right="1134" w:bottom="540" w:left="1134" w:header="708" w:footer="708" w:gutter="0"/>
      <w:cols w:space="708" w:num="1"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40" w:lineRule="auto"/>
      </w:pPr>
      <w:r>
        <w:separator/>
      </w:r>
    </w:p>
  </w:footnote>
  <w:footnote w:type="continuationSeparator" w:id="9">
    <w:p>
      <w:pPr>
        <w:spacing w:before="0" w:after="0" w:line="240" w:lineRule="auto"/>
      </w:pPr>
      <w:r>
        <w:continuationSeparator/>
      </w:r>
    </w:p>
  </w:footnote>
  <w:footnote w:id="0">
    <w:p>
      <w:pPr>
        <w:pStyle w:val="1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2"/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  <w:color w:val="auto"/>
          <w14:ligatures w14:val="none"/>
        </w:rPr>
      </w:pPr>
      <w:r>
        <w:rPr>
          <w:rFonts w:ascii="Times New Roman" w:hAnsi="Times New Roman"/>
          <w:color w:val="auto"/>
          <w:vertAlign w:val="superscript"/>
        </w:rPr>
        <w:footnoteRef/>
      </w:r>
      <w:r>
        <w:rPr>
          <w:rFonts w:ascii="Times New Roman" w:hAnsi="Times New Roman"/>
          <w:color w:val="auto"/>
        </w:rPr>
        <w:t xml:space="preserve"> Постановление Правительства РФ от 11.02.</w:t>
      </w:r>
      <w:r>
        <w:rPr>
          <w:rFonts w:hint="default" w:ascii="Times New Roman" w:hAnsi="Times New Roman"/>
          <w:color w:val="auto"/>
          <w:lang w:val="ru-RU"/>
        </w:rPr>
        <w:t>2</w:t>
      </w:r>
      <w:r>
        <w:rPr>
          <w:rFonts w:ascii="Times New Roman" w:hAnsi="Times New Roman"/>
          <w:color w:val="auto"/>
        </w:rPr>
        <w:t>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(территорий).</w:t>
      </w:r>
    </w:p>
  </w:footnote>
  <w:footnote w:id="1">
    <w:p>
      <w:pPr>
        <w:pStyle w:val="1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2"/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  <w:color w:val="auto"/>
          <w14:ligatures w14:val="none"/>
        </w:rPr>
      </w:pPr>
      <w:r>
        <w:rPr>
          <w:rFonts w:ascii="Times New Roman" w:hAnsi="Times New Roman"/>
          <w:color w:val="auto"/>
          <w:vertAlign w:val="superscript"/>
        </w:rPr>
        <w:footnoteRef/>
      </w:r>
      <w:r>
        <w:rPr>
          <w:rFonts w:ascii="Times New Roman" w:hAnsi="Times New Roman"/>
          <w:color w:val="auto"/>
        </w:rPr>
        <w:t xml:space="preserve"> Постановление Правительства РФ от 06.03.2015 № 202 «Об утверждении требований к антитеррористической защищенности объектов спорта и формы паспорта безопасности объектов спорта.</w:t>
      </w:r>
    </w:p>
  </w:footnote>
  <w:footnote w:id="2">
    <w:p>
      <w:pPr>
        <w:pStyle w:val="1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2"/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  <w:color w:val="auto"/>
          <w14:ligatures w14:val="none"/>
        </w:rPr>
      </w:pPr>
      <w:r>
        <w:rPr>
          <w:rFonts w:ascii="Times New Roman" w:hAnsi="Times New Roman"/>
          <w:color w:val="auto"/>
          <w:vertAlign w:val="superscript"/>
        </w:rPr>
        <w:footnoteRef/>
      </w:r>
      <w:r>
        <w:rPr>
          <w:rFonts w:ascii="Times New Roman" w:hAnsi="Times New Roman"/>
          <w:color w:val="auto"/>
        </w:rPr>
        <w:t xml:space="preserve"> Постановление Правительства РФ от 14.04.2017 № 447 «Об утверждении требований к антитеррористической защищенности гостиниц и иных средств размещения и формы паспорта безопасности этих объектов.</w:t>
      </w:r>
    </w:p>
  </w:footnote>
  <w:footnote w:id="3">
    <w:p>
      <w:pPr>
        <w:pStyle w:val="1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2"/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  <w:color w:val="auto"/>
          <w14:ligatures w14:val="none"/>
        </w:rPr>
      </w:pPr>
      <w:r>
        <w:rPr>
          <w:rFonts w:ascii="Times New Roman" w:hAnsi="Times New Roman"/>
          <w:color w:val="auto"/>
          <w:vertAlign w:val="superscript"/>
        </w:rPr>
        <w:footnoteRef/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ru-RU" w:bidi="ru-RU"/>
        </w:rPr>
        <w:t>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TrackMoves/>
  <w:documentProtection w:enforcement="0"/>
  <w:defaultTabStop w:val="708"/>
  <w:characterSpacingControl w:val="doNotCompress"/>
  <w:footnotePr>
    <w:footnote w:id="8"/>
    <w:footnote w:id="9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B88"/>
    <w:rsid w:val="00013782"/>
    <w:rsid w:val="0002770E"/>
    <w:rsid w:val="00027E95"/>
    <w:rsid w:val="00030EF0"/>
    <w:rsid w:val="00034FD4"/>
    <w:rsid w:val="00041BED"/>
    <w:rsid w:val="00047C29"/>
    <w:rsid w:val="00050E7C"/>
    <w:rsid w:val="00055E57"/>
    <w:rsid w:val="00067FD4"/>
    <w:rsid w:val="0007082A"/>
    <w:rsid w:val="00083EBB"/>
    <w:rsid w:val="000843AE"/>
    <w:rsid w:val="000D1DF2"/>
    <w:rsid w:val="00143786"/>
    <w:rsid w:val="00151733"/>
    <w:rsid w:val="00173A4C"/>
    <w:rsid w:val="0017482B"/>
    <w:rsid w:val="00186441"/>
    <w:rsid w:val="00187EF1"/>
    <w:rsid w:val="001A0C2F"/>
    <w:rsid w:val="001C3C65"/>
    <w:rsid w:val="001D5774"/>
    <w:rsid w:val="001E2DE5"/>
    <w:rsid w:val="00205E06"/>
    <w:rsid w:val="002234F6"/>
    <w:rsid w:val="00226B97"/>
    <w:rsid w:val="002600AA"/>
    <w:rsid w:val="00280D40"/>
    <w:rsid w:val="00285DA9"/>
    <w:rsid w:val="00290961"/>
    <w:rsid w:val="0029458D"/>
    <w:rsid w:val="002A649C"/>
    <w:rsid w:val="002C5175"/>
    <w:rsid w:val="002C7F2A"/>
    <w:rsid w:val="002D5FCE"/>
    <w:rsid w:val="002E2D28"/>
    <w:rsid w:val="002E5A64"/>
    <w:rsid w:val="00302DD3"/>
    <w:rsid w:val="003074F0"/>
    <w:rsid w:val="0033420D"/>
    <w:rsid w:val="00346F17"/>
    <w:rsid w:val="00354711"/>
    <w:rsid w:val="003B1A7F"/>
    <w:rsid w:val="003E6D93"/>
    <w:rsid w:val="003F0FAE"/>
    <w:rsid w:val="003F4BA1"/>
    <w:rsid w:val="003F6488"/>
    <w:rsid w:val="003F7266"/>
    <w:rsid w:val="004402EF"/>
    <w:rsid w:val="0046057F"/>
    <w:rsid w:val="00465880"/>
    <w:rsid w:val="00480A62"/>
    <w:rsid w:val="00481671"/>
    <w:rsid w:val="0048529C"/>
    <w:rsid w:val="0049351B"/>
    <w:rsid w:val="004B19F5"/>
    <w:rsid w:val="004B4296"/>
    <w:rsid w:val="004C0F7D"/>
    <w:rsid w:val="004D5134"/>
    <w:rsid w:val="004D632C"/>
    <w:rsid w:val="004D6B88"/>
    <w:rsid w:val="004E2CD6"/>
    <w:rsid w:val="005469A4"/>
    <w:rsid w:val="00565D0C"/>
    <w:rsid w:val="00590893"/>
    <w:rsid w:val="005D2333"/>
    <w:rsid w:val="005D5A92"/>
    <w:rsid w:val="006048CD"/>
    <w:rsid w:val="0061243B"/>
    <w:rsid w:val="006329E2"/>
    <w:rsid w:val="00634AE8"/>
    <w:rsid w:val="00670461"/>
    <w:rsid w:val="00683072"/>
    <w:rsid w:val="00692EC3"/>
    <w:rsid w:val="006A5F6C"/>
    <w:rsid w:val="006A6705"/>
    <w:rsid w:val="006D7B82"/>
    <w:rsid w:val="006E2226"/>
    <w:rsid w:val="006E24F4"/>
    <w:rsid w:val="006F1CDE"/>
    <w:rsid w:val="006F27C1"/>
    <w:rsid w:val="006F5044"/>
    <w:rsid w:val="006F65FE"/>
    <w:rsid w:val="00744E1C"/>
    <w:rsid w:val="00751E0D"/>
    <w:rsid w:val="00762423"/>
    <w:rsid w:val="007700DC"/>
    <w:rsid w:val="00780E87"/>
    <w:rsid w:val="007A338E"/>
    <w:rsid w:val="007B47B1"/>
    <w:rsid w:val="007D510E"/>
    <w:rsid w:val="007E6FF0"/>
    <w:rsid w:val="008039B0"/>
    <w:rsid w:val="00815B4D"/>
    <w:rsid w:val="00827BBC"/>
    <w:rsid w:val="00827D26"/>
    <w:rsid w:val="00850BD1"/>
    <w:rsid w:val="00877797"/>
    <w:rsid w:val="0087781A"/>
    <w:rsid w:val="008A62DE"/>
    <w:rsid w:val="008B14E4"/>
    <w:rsid w:val="008C141B"/>
    <w:rsid w:val="008E382E"/>
    <w:rsid w:val="008E55CB"/>
    <w:rsid w:val="008E7785"/>
    <w:rsid w:val="0091098B"/>
    <w:rsid w:val="00920EA1"/>
    <w:rsid w:val="0092309B"/>
    <w:rsid w:val="00930406"/>
    <w:rsid w:val="00941EB6"/>
    <w:rsid w:val="00966D51"/>
    <w:rsid w:val="00996EF4"/>
    <w:rsid w:val="009B0684"/>
    <w:rsid w:val="009D27FE"/>
    <w:rsid w:val="009E0EE1"/>
    <w:rsid w:val="009E3441"/>
    <w:rsid w:val="009F0DDC"/>
    <w:rsid w:val="00A02DB5"/>
    <w:rsid w:val="00A117BE"/>
    <w:rsid w:val="00A11F55"/>
    <w:rsid w:val="00A43C84"/>
    <w:rsid w:val="00AC04FB"/>
    <w:rsid w:val="00AC1FD7"/>
    <w:rsid w:val="00AC5FFD"/>
    <w:rsid w:val="00B022D9"/>
    <w:rsid w:val="00B306DA"/>
    <w:rsid w:val="00B5091E"/>
    <w:rsid w:val="00B70A1E"/>
    <w:rsid w:val="00B8065F"/>
    <w:rsid w:val="00B91470"/>
    <w:rsid w:val="00B942B6"/>
    <w:rsid w:val="00B95B1E"/>
    <w:rsid w:val="00BA5639"/>
    <w:rsid w:val="00BC3F5F"/>
    <w:rsid w:val="00BC7904"/>
    <w:rsid w:val="00BD26B9"/>
    <w:rsid w:val="00BD7DC4"/>
    <w:rsid w:val="00BF642A"/>
    <w:rsid w:val="00C06F88"/>
    <w:rsid w:val="00C103E8"/>
    <w:rsid w:val="00C116A2"/>
    <w:rsid w:val="00C143D1"/>
    <w:rsid w:val="00C2636E"/>
    <w:rsid w:val="00C3003C"/>
    <w:rsid w:val="00C3052E"/>
    <w:rsid w:val="00C46DD4"/>
    <w:rsid w:val="00C658EE"/>
    <w:rsid w:val="00C73922"/>
    <w:rsid w:val="00C86619"/>
    <w:rsid w:val="00C8777E"/>
    <w:rsid w:val="00C96F9E"/>
    <w:rsid w:val="00CA43B5"/>
    <w:rsid w:val="00CA6F76"/>
    <w:rsid w:val="00CB7F60"/>
    <w:rsid w:val="00CC1346"/>
    <w:rsid w:val="00CC6406"/>
    <w:rsid w:val="00CD7FBD"/>
    <w:rsid w:val="00CE6DEE"/>
    <w:rsid w:val="00D31391"/>
    <w:rsid w:val="00D34B3C"/>
    <w:rsid w:val="00D41742"/>
    <w:rsid w:val="00D43FDC"/>
    <w:rsid w:val="00D62DD8"/>
    <w:rsid w:val="00D64C34"/>
    <w:rsid w:val="00D67B56"/>
    <w:rsid w:val="00D929B7"/>
    <w:rsid w:val="00DA06FC"/>
    <w:rsid w:val="00DA74BF"/>
    <w:rsid w:val="00DC590E"/>
    <w:rsid w:val="00DF4AA1"/>
    <w:rsid w:val="00DF711D"/>
    <w:rsid w:val="00E073AD"/>
    <w:rsid w:val="00E14187"/>
    <w:rsid w:val="00E1737D"/>
    <w:rsid w:val="00E225C7"/>
    <w:rsid w:val="00E25194"/>
    <w:rsid w:val="00E27276"/>
    <w:rsid w:val="00E512C5"/>
    <w:rsid w:val="00E7440D"/>
    <w:rsid w:val="00E765B9"/>
    <w:rsid w:val="00E8097A"/>
    <w:rsid w:val="00E8662D"/>
    <w:rsid w:val="00EA16AC"/>
    <w:rsid w:val="00EA1D92"/>
    <w:rsid w:val="00EB7A74"/>
    <w:rsid w:val="00F048A7"/>
    <w:rsid w:val="00F10EFC"/>
    <w:rsid w:val="00F11420"/>
    <w:rsid w:val="00F27901"/>
    <w:rsid w:val="00F57D1D"/>
    <w:rsid w:val="00F60E4D"/>
    <w:rsid w:val="00F83D06"/>
    <w:rsid w:val="00F85987"/>
    <w:rsid w:val="00FE33EA"/>
    <w:rsid w:val="00FF4C02"/>
    <w:rsid w:val="0169458A"/>
    <w:rsid w:val="0286198A"/>
    <w:rsid w:val="03AF1B5F"/>
    <w:rsid w:val="05EE4343"/>
    <w:rsid w:val="0F36439C"/>
    <w:rsid w:val="11C37247"/>
    <w:rsid w:val="138E6AB6"/>
    <w:rsid w:val="142F1FAA"/>
    <w:rsid w:val="161B2B0B"/>
    <w:rsid w:val="16663B71"/>
    <w:rsid w:val="17956789"/>
    <w:rsid w:val="195008D7"/>
    <w:rsid w:val="1C243977"/>
    <w:rsid w:val="1C386366"/>
    <w:rsid w:val="1F174072"/>
    <w:rsid w:val="24075080"/>
    <w:rsid w:val="256C7F6D"/>
    <w:rsid w:val="266F0E9E"/>
    <w:rsid w:val="26820371"/>
    <w:rsid w:val="28984295"/>
    <w:rsid w:val="2D897C8D"/>
    <w:rsid w:val="33C21579"/>
    <w:rsid w:val="33C543BD"/>
    <w:rsid w:val="34502C8C"/>
    <w:rsid w:val="34BF64AF"/>
    <w:rsid w:val="37741115"/>
    <w:rsid w:val="3AF46A1A"/>
    <w:rsid w:val="44D411E7"/>
    <w:rsid w:val="451900C5"/>
    <w:rsid w:val="454F3B9D"/>
    <w:rsid w:val="45FB3B0B"/>
    <w:rsid w:val="463A43BD"/>
    <w:rsid w:val="46875BCB"/>
    <w:rsid w:val="47D41597"/>
    <w:rsid w:val="48646E6F"/>
    <w:rsid w:val="55457EBC"/>
    <w:rsid w:val="597571F5"/>
    <w:rsid w:val="5B031CF0"/>
    <w:rsid w:val="62214157"/>
    <w:rsid w:val="6353359A"/>
    <w:rsid w:val="637667B1"/>
    <w:rsid w:val="695A10B1"/>
    <w:rsid w:val="697C22A1"/>
    <w:rsid w:val="6A3902E0"/>
    <w:rsid w:val="6D39213C"/>
    <w:rsid w:val="6D8238C4"/>
    <w:rsid w:val="6E30695B"/>
    <w:rsid w:val="6F6101E5"/>
    <w:rsid w:val="70493E58"/>
    <w:rsid w:val="71D46F9E"/>
    <w:rsid w:val="776F7376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qFormat/>
    <w:uiPriority w:val="99"/>
    <w:rPr>
      <w:sz w:val="20"/>
      <w:szCs w:val="20"/>
      <w:vertAlign w:val="superscript"/>
      <w:lang w:eastAsia="zh-CN"/>
    </w:rPr>
  </w:style>
  <w:style w:type="paragraph" w:customStyle="1" w:styleId="5">
    <w:name w:val="Ciae niinee I Знак"/>
    <w:basedOn w:val="1"/>
    <w:link w:val="4"/>
    <w:qFormat/>
    <w:uiPriority w:val="99"/>
    <w:pPr>
      <w:spacing w:before="120" w:after="160" w:line="240" w:lineRule="exact"/>
    </w:pPr>
    <w:rPr>
      <w:sz w:val="20"/>
      <w:szCs w:val="20"/>
      <w:vertAlign w:val="superscript"/>
      <w:lang w:eastAsia="zh-CN"/>
    </w:rPr>
  </w:style>
  <w:style w:type="paragraph" w:styleId="6">
    <w:name w:val="footnote text"/>
    <w:basedOn w:val="1"/>
    <w:link w:val="9"/>
    <w:qFormat/>
    <w:uiPriority w:val="9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table" w:styleId="7">
    <w:name w:val="Table Grid"/>
    <w:basedOn w:val="3"/>
    <w:qFormat/>
    <w:locked/>
    <w:uiPriority w:val="99"/>
    <w:pPr>
      <w:spacing w:after="160" w:line="259" w:lineRule="auto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note Text Char"/>
    <w:semiHidden/>
    <w:qFormat/>
    <w:locked/>
    <w:uiPriority w:val="99"/>
    <w:rPr>
      <w:rFonts w:cs="Times New Roman"/>
      <w:sz w:val="20"/>
      <w:szCs w:val="20"/>
      <w:lang w:eastAsia="en-US"/>
    </w:rPr>
  </w:style>
  <w:style w:type="character" w:customStyle="1" w:styleId="9">
    <w:name w:val="Текст сноски Знак"/>
    <w:link w:val="6"/>
    <w:qFormat/>
    <w:locked/>
    <w:uiPriority w:val="99"/>
    <w:rPr>
      <w:rFonts w:cs="Times New Roman"/>
      <w:lang w:val="ru-RU" w:eastAsia="ru-RU" w:bidi="ar-SA"/>
    </w:rPr>
  </w:style>
  <w:style w:type="character" w:customStyle="1" w:styleId="10">
    <w:name w:val="Текст сноски Знак Знак Знак Знак Знак"/>
    <w:qFormat/>
    <w:uiPriority w:val="99"/>
    <w:rPr>
      <w:rFonts w:ascii="Calibri" w:hAnsi="Calibri"/>
      <w:sz w:val="20"/>
      <w:lang w:eastAsia="ru-RU"/>
    </w:rPr>
  </w:style>
  <w:style w:type="paragraph" w:customStyle="1" w:styleId="11">
    <w:name w:val="Текст сноски;Текст сноски Знак Знак Знак Знак;Table_Footnote_last Знак1;Table_Footnote_last Знак Знак Знак Знак;Table_Footnote_last Знак Знак;Текст сноски Знак1 Знак;Текст сноски Знак Знак Знак;Текст сноски Знак1 Знак Знак Знак;Знак4 Знак;Знак4;З"/>
    <w:basedOn w:val="1"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1981</Words>
  <Characters>11297</Characters>
  <Lines>94</Lines>
  <Paragraphs>26</Paragraphs>
  <TotalTime>20</TotalTime>
  <ScaleCrop>false</ScaleCrop>
  <LinksUpToDate>false</LinksUpToDate>
  <CharactersWithSpaces>13252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2016-10-24T11:07:00Z</dcterms:created>
  <dc:creator>Серебряков Владимир Александрович</dc:creator>
  <cp:lastModifiedBy>BelyaevAS</cp:lastModifiedBy>
  <cp:lastPrinted>2025-03-11T06:03:54Z</cp:lastPrinted>
  <dcterms:modified xsi:type="dcterms:W3CDTF">2025-03-11T06:09:42Z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AE702BCCB10B4FF3B394BE2E0DAAF07D</vt:lpwstr>
  </property>
</Properties>
</file>