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  <w:tab/>
      </w:r>
      <w:r>
        <w:rPr>
          <w:rFonts w:ascii="Times New Roman" w:hAnsi="Times New Roman" w:eastAsia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keepNext/>
        <w:rPr>
          <w:rFonts w:ascii="Times New Roman" w:hAnsi="Times New Roman" w:eastAsia="Times New Roman"/>
          <w:b/>
        </w:rPr>
        <w:outlineLvl w:val="1"/>
      </w:pPr>
      <w:r>
        <w:rPr>
          <w:rFonts w:ascii="Times New Roman" w:hAnsi="Times New Roman" w:eastAsia="Times New Roman"/>
          <w:b/>
        </w:rPr>
        <w:t xml:space="preserve">БЕЛОЯРСКИЙ РАЙОН</w:t>
      </w:r>
      <w:r>
        <w:rPr>
          <w:rFonts w:ascii="Times New Roman" w:hAnsi="Times New Roman" w:eastAsia="Times New Roman"/>
          <w:b/>
        </w:rPr>
      </w:r>
      <w:r>
        <w:rPr>
          <w:rFonts w:ascii="Times New Roman" w:hAnsi="Times New Roman" w:eastAsia="Times New Roman"/>
          <w:b/>
        </w:rPr>
      </w:r>
    </w:p>
    <w:p>
      <w:pPr>
        <w:pStyle w:val="651"/>
        <w:jc w:val="center"/>
        <w:keepNext/>
        <w:rPr>
          <w:rFonts w:ascii="Times New Roman" w:hAnsi="Times New Roman" w:eastAsia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/>
          <w:b/>
          <w:sz w:val="20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51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i/>
          <w:iCs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5</w:t>
      </w:r>
      <w:r>
        <w:rPr>
          <w:rFonts w:ascii="Times New Roman" w:hAnsi="Times New Roman" w:eastAsia="Times New Roman"/>
          <w:sz w:val="24"/>
          <w:szCs w:val="24"/>
        </w:rPr>
        <w:t xml:space="preserve"> декабря 2024 года                 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№ </w:t>
      </w:r>
      <w:r>
        <w:rPr>
          <w:rFonts w:ascii="Times New Roman" w:hAnsi="Times New Roman" w:eastAsia="Times New Roman"/>
          <w:sz w:val="24"/>
          <w:szCs w:val="24"/>
        </w:rPr>
        <w:t xml:space="preserve">841</w:t>
      </w:r>
      <w:r>
        <w:rPr>
          <w:rFonts w:ascii="Times New Roman" w:hAnsi="Times New Roman" w:eastAsia="Times New Roman"/>
          <w:i/>
          <w:iCs/>
          <w:sz w:val="24"/>
          <w:szCs w:val="24"/>
        </w:rPr>
      </w:r>
      <w:r>
        <w:rPr>
          <w:rFonts w:ascii="Times New Roman" w:hAnsi="Times New Roman" w:eastAsia="Times New Roman"/>
          <w:i/>
          <w:iCs/>
          <w:sz w:val="24"/>
          <w:szCs w:val="24"/>
        </w:rPr>
      </w:r>
    </w:p>
    <w:p>
      <w:pPr>
        <w:pStyle w:val="651"/>
        <w:jc w:val="center"/>
        <w:keepNext/>
        <w:rPr>
          <w:rFonts w:ascii="Times New Roman" w:hAnsi="Times New Roman" w:eastAsia="Times New Roman"/>
          <w:sz w:val="24"/>
          <w:szCs w:val="24"/>
        </w:rPr>
        <w:outlineLvl w:val="0"/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Об утверждении муниципальной программы Белоярского района 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b/>
          <w:sz w:val="24"/>
          <w:szCs w:val="24"/>
          <w:lang w:eastAsia="ar-SA"/>
        </w:rPr>
        <w:t xml:space="preserve">Обеспечение доступным и комфортным жильем жителей 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Белоярского района»</w:t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6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</w:rPr>
        <w:t xml:space="preserve">(</w:t>
      </w:r>
      <w:r>
        <w:rPr>
          <w:rFonts w:ascii="Times New Roman" w:hAnsi="Times New Roman"/>
          <w:sz w:val="22"/>
          <w:szCs w:val="22"/>
        </w:rPr>
        <w:t xml:space="preserve">в редакции постановлений администрации Белоярского района</w:t>
      </w:r>
      <w:r>
        <w:rPr>
          <w:rFonts w:ascii="Times New Roman" w:hAnsi="Times New Roman" w:eastAsia="Times New Roman"/>
          <w:sz w:val="22"/>
          <w:szCs w:val="22"/>
        </w:rPr>
      </w:r>
    </w:p>
    <w:p>
      <w:pPr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 w:eastAsia="Times New Roman"/>
          <w:sz w:val="22"/>
          <w:szCs w:val="22"/>
        </w:rPr>
        <w:t xml:space="preserve"> от 17.02.2025 года №92, от 09.12.2025 года №815)</w:t>
      </w:r>
      <w:r>
        <w:rPr>
          <w:rFonts w:ascii="Times New Roman" w:hAnsi="Times New Roman" w:eastAsia="Times New Roman"/>
          <w:sz w:val="22"/>
          <w:szCs w:val="22"/>
        </w:rPr>
      </w:r>
      <w:r/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В соответствии с постановлением администрации Белоярского района от  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      </w:t>
      </w:r>
      <w:r>
        <w:rPr>
          <w:rFonts w:ascii="Times New Roman" w:hAnsi="Times New Roman" w:eastAsia="Times New Roman"/>
          <w:sz w:val="24"/>
          <w:szCs w:val="24"/>
        </w:rPr>
        <w:t xml:space="preserve"> 3 сентября 2018 года № 776 «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Об утверждении Порядка принятия решений о разработке, формировании и реализации муниципальных программ Белоярского района</w:t>
      </w:r>
      <w:r>
        <w:rPr>
          <w:rFonts w:ascii="Times New Roman" w:hAnsi="Times New Roman" w:eastAsia="Times New Roman"/>
          <w:sz w:val="24"/>
          <w:szCs w:val="24"/>
        </w:rPr>
        <w:t xml:space="preserve">», распоряжением администрации Белоярского района от 15 августа 2018 года № 245-р «О Перечне муниципальных программ Белоярского района», п о с т а н о в л я ю: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1. Утвердить прилагаемую муниципальную программу Белоярского района «</w:t>
      </w:r>
      <w:r>
        <w:rPr>
          <w:rFonts w:ascii="Times New Roman" w:hAnsi="Times New Roman" w:eastAsia="Times New Roman"/>
          <w:sz w:val="24"/>
          <w:szCs w:val="24"/>
          <w:lang w:eastAsia="ar-SA"/>
        </w:rPr>
        <w:t xml:space="preserve">Обеспечение доступным и комфортным жильем жителей 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Белоярского района»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2. 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3. Настоящее постановление вступает в силу после официального опубликования, но не ранее 1 января 2025 года.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firstLine="54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4. Контроль за выполнением постановления возложить на первого заместителя главы Белоярского района Ойнеца А.В.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6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</w:t>
      </w:r>
      <w:r>
        <w:rPr>
          <w:rFonts w:ascii="Times New Roman" w:hAnsi="Times New Roman" w:cs="Times New Roman"/>
          <w:sz w:val="24"/>
          <w:szCs w:val="24"/>
        </w:rPr>
        <w:t xml:space="preserve">а Белоярского района</w:t>
        <w:tab/>
        <w:tab/>
        <w:tab/>
        <w:tab/>
        <w:tab/>
        <w:tab/>
        <w:tab/>
        <w:t xml:space="preserve">                  С.П.</w:t>
      </w:r>
      <w:r>
        <w:rPr>
          <w:rFonts w:ascii="Times New Roman" w:hAnsi="Times New Roman" w:cs="Times New Roman"/>
          <w:sz w:val="24"/>
          <w:szCs w:val="24"/>
        </w:rPr>
        <w:t xml:space="preserve">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2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1"/>
        <w:tabs>
          <w:tab w:val="left" w:pos="900" w:leader="none"/>
          <w:tab w:val="left" w:pos="10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4253"/>
        <w:jc w:val="right"/>
        <w:rPr>
          <w:rFonts w:ascii="Times New Roman" w:hAnsi="Times New Roman" w:eastAsia="Times New Roman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898" w:right="849" w:bottom="1020" w:left="1400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УТВЕРЖДЕНА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постановлением администрации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от 5 декабря 2024 года № 841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righ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eastAsia="Times New Roman"/>
          <w:b/>
          <w:sz w:val="24"/>
          <w:szCs w:val="24"/>
        </w:rPr>
        <w:t xml:space="preserve">Обеспечение доступным и комфортным жильем жителей Белоярского района</w:t>
      </w:r>
      <w:r>
        <w:rPr>
          <w:rFonts w:ascii="Times New Roman" w:hAnsi="Times New Roman" w:eastAsia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eastAsia="Times New Roman"/>
          <w:sz w:val="24"/>
          <w:szCs w:val="24"/>
        </w:rPr>
        <w:t xml:space="preserve">Обеспечение доступным и комфортным жильем жителей Белоярского района</w:t>
      </w:r>
      <w:r>
        <w:rPr>
          <w:rFonts w:ascii="Times New Roman" w:hAnsi="Times New Roman" w:eastAsia="Times New Roman"/>
          <w:bCs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7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</w:p>
    <w:p>
      <w:pPr>
        <w:pStyle w:val="657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657"/>
        <w:ind w:left="720" w:right="-23"/>
        <w:jc w:val="both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</w:p>
    <w:tbl>
      <w:tblPr>
        <w:tblW w:w="1531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89"/>
        <w:gridCol w:w="9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Первый заместитель главы Белоярского района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Управление жилищно-коммунального хозяйства администрации Белоярского района (далее – УЖКХ)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2025-2030 годы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889" w:type="dxa"/>
            <w:vAlign w:val="top"/>
            <w:vMerge w:val="restart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Цель 1 «Создание условий и механизмов для жилищного строительства, обеспечения доступности жилья на территории Белоярского района»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/>
        </w:trPr>
        <w:tc>
          <w:tcPr>
            <w:tcW w:w="5889" w:type="dxa"/>
            <w:vAlign w:val="top"/>
            <w:vMerge w:val="continue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Цель 2 «Улучшение жилищных условий граждан Белоярского района и создание условий, способствующих повышению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качества жилищного обеспечения населения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Направления (подпрограммы) муниципальной программы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1.  «Содействие развитию жилищного строительства на территории Белоярского района»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r>
          </w:p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2. «Улучшение жилищных условий населения Белоярского района»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889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center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259 360,2 тысяч рублей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889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  <w:tc>
          <w:tcPr>
            <w:tcW w:w="9423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1. Комфортная и безопасная среда для жизни.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1.1. показатель «Устойчивое сокращение непригодного для проживания жилищного фонда».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2. Государственная программа Ханты-Мансийского автономного округа - Югры «Строительство».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  <w:p>
            <w:pPr>
              <w:pStyle w:val="65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3. Государственная программа Ханты-Мансийского автономного округа - Югры «Пространственное развитие и формирование комфортной городской среды».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</w:p>
        </w:tc>
      </w:tr>
    </w:tbl>
    <w:p>
      <w:pPr>
        <w:pStyle w:val="657"/>
        <w:ind w:left="720" w:right="-23"/>
        <w:jc w:val="both"/>
        <w:rPr>
          <w:color w:val="ff0000"/>
          <w:szCs w:val="24"/>
        </w:rPr>
      </w:pPr>
      <w:r>
        <w:rPr>
          <w:color w:val="ff0000"/>
          <w:szCs w:val="24"/>
        </w:rPr>
      </w:r>
      <w:r>
        <w:rPr>
          <w:color w:val="ff0000"/>
          <w:szCs w:val="24"/>
        </w:rPr>
      </w:r>
    </w:p>
    <w:p>
      <w:pPr>
        <w:pStyle w:val="651"/>
        <w:numPr>
          <w:ilvl w:val="0"/>
          <w:numId w:val="1"/>
        </w:numPr>
        <w:ind w:left="0" w:firstLine="0"/>
        <w:jc w:val="center"/>
        <w:pageBreakBefore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Показатели муниципальной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ind w:left="72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15168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1"/>
        <w:gridCol w:w="2011"/>
        <w:gridCol w:w="1162"/>
        <w:gridCol w:w="906"/>
        <w:gridCol w:w="671"/>
        <w:gridCol w:w="711"/>
        <w:gridCol w:w="711"/>
        <w:gridCol w:w="671"/>
        <w:gridCol w:w="576"/>
        <w:gridCol w:w="576"/>
        <w:gridCol w:w="567"/>
        <w:gridCol w:w="9"/>
        <w:gridCol w:w="2888"/>
        <w:gridCol w:w="1741"/>
        <w:gridCol w:w="8"/>
        <w:gridCol w:w="1409"/>
      </w:tblGrid>
      <w:tr>
        <w:tblPrEx/>
        <w:trPr>
          <w:trHeight w:val="40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vMerge w:val="restart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N п/п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vMerge w:val="restart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vMerge w:val="restart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/>
            <w:bookmarkStart w:id="0" w:name="RANGE!D13"/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Базовое значение</w:t>
            </w:r>
            <w:bookmarkEnd w:id="0"/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2" w:type="dxa"/>
            <w:vAlign w:val="center"/>
            <w:textDirection w:val="lrTb"/>
            <w:noWrap w:val="false"/>
          </w:tcPr>
          <w:p>
            <w:pPr>
              <w:pStyle w:val="651"/>
              <w:ind w:right="-53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97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/>
            <w:bookmarkStart w:id="1" w:name="RANGE!L13"/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Документ</w:t>
            </w:r>
            <w:bookmarkEnd w:id="1"/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9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/>
            <w:bookmarkStart w:id="2" w:name="RANGE!M13"/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Ответственный за достижение показателя</w:t>
            </w:r>
            <w:bookmarkEnd w:id="2"/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vMerge w:val="continue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значение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год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651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Цель 1 «Создание условий и механизмов для жилищного строительства, обеспечения доступности жилья на территории Белоярского района»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11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Объем жилищного строительства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тысяч квадратных метров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7,0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Правительства ХМАО - Югры от 10.11.2023           №561-п «О государственной программе Ханты-Мансийского автономного округа - Югры «Строительство»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по архитектуре и градостроительству администрации Белоярского района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граждан жильем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земельных участков, предоставленных для строительства в расчете на 10 тыс.человек населения &lt;*&gt;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гектар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0,6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0,7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0,8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0,9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Правительства РФ от 17.12.2012 N 1317 «О мерах по реализации Указа Президента Российской Федерации от 28 апреля 2008 г. № 607 «Об оценке эффективности деятельности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Комитет муниципальной собственности  администрации Белоярского района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обеспечение граждан жильем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trHeight w:val="201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</w:rPr>
              <w:t xml:space="preserve">Цель 2 «Улучшение жилищных условий граждан Белоярского района и создание условий, способствующих повышению  качества жилищного обеспечения населения Белоярского района».</w:t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Количество квадратных метров расселенного аварийного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тысяч квадратны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 метров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0,119</w:t>
            </w:r>
            <w:r>
              <w:rPr>
                <w:rFonts w:ascii="Times New Roman" w:hAnsi="Times New Roman" w:eastAsia="Times New Roman" w:cs="Times New Roman"/>
                <w:sz w:val="16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01.09.2024 года №325 «Об адресной программе Ханты-Мансийского автономного </w:t>
              <w:br w:type="textWrapping" w:clear="all"/>
              <w:t xml:space="preserve">округа – Югры по переселению граждан из аварийного жилищного фонда на 2024 – 2030 годы»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УЖКХ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устойчивое сокращение непригодного для проживания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7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6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ХМАО - Югры от 01.09.2024 года №325 «Об адресной программе Ханты-Мансийского автономного </w:t>
              <w:br w:type="textWrapping" w:clear="all"/>
              <w:t xml:space="preserve">округа – Югры по переселению граждан из аварийного жилищного фонда на 2024 – 2030 годы»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УЖКХ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устойчивое сокращение непригодного для проживания жилищного фонда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011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2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процент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6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72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2023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6" w:type="dxa"/>
            <w:vAlign w:val="center"/>
            <w:textDirection w:val="lrTb"/>
            <w:noWrap w:val="false"/>
          </w:tcPr>
          <w:p>
            <w:pPr>
              <w:pStyle w:val="651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zh-CN" w:bidi="ar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88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Постановление Правительства РФ от 17.12.2012 № 1317 «О мерах по реализации Указа Президента Российской Федерации от 28 апреля 2008 г. № 607 «Об оценке эффективности деятельности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41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УЖКХ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zh-CN" w:bidi="ar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&lt;*&gt;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7"/>
        <w:ind w:right="-23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51"/>
        <w:numPr>
          <w:ilvl w:val="0"/>
          <w:numId w:val="1"/>
        </w:numPr>
        <w:jc w:val="center"/>
        <w:pageBreakBefore/>
        <w:spacing w:after="160" w:line="25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Структура муниципальной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W w:w="15567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3"/>
        <w:gridCol w:w="4910"/>
        <w:gridCol w:w="6382"/>
        <w:gridCol w:w="37"/>
        <w:gridCol w:w="3535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center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N п/п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center"/>
            <w:textDirection w:val="lrTb"/>
            <w:noWrap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Задачи структурного элемента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2" w:type="dxa"/>
            <w:vAlign w:val="center"/>
            <w:textDirection w:val="lrTb"/>
            <w:noWrap w:val="false"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Align w:val="center"/>
            <w:textDirection w:val="lrTb"/>
            <w:noWrap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Связь с показателями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10" w:type="dxa"/>
            <w:vAlign w:val="top"/>
            <w:textDirection w:val="lrTb"/>
            <w:noWrap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2" w:type="dxa"/>
            <w:vAlign w:val="top"/>
            <w:textDirection w:val="lrTb"/>
            <w:noWrap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vAlign w:val="top"/>
            <w:textDirection w:val="lrTb"/>
            <w:noWrap/>
          </w:tcPr>
          <w:p>
            <w:pPr>
              <w:pStyle w:val="65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64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Направление (подпрограмма) «Содействие развитию жилищного строительства на территории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«Обеспечение градостроительной деятельности на территории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Управление по архитектуре и градостроительству администрации Белоярского района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44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1.1.1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Обеспечение территории Белоярского района документами территориального планирования, градостроительного зонирования, документацией по планировке территории, правилами благоустройства территорий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Обеспеченность муниципальных образований Белоярского района градостроительной документацией, документами территориального планирования и градостроительного зонирования, соответствующих установленным требованиям.</w:t>
              <w:br w:type="textWrapping" w:clear="all"/>
              <w:t xml:space="preserve">Рациональное использование зем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Объем жилищного строительства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«Обеспечение мероприятий по освобождению и формированию земельных участков для жилищного строительства»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УЖКХ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, Комитет муниципальной собственности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1.2.1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Создание благоприятных условий по освоению свободных и развитию застроенных территорий в границах Белоярского района в целях строительства жилого назначения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Реализация мероприятий по освобождению земельных участков, планируемы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х для жилищного строительства на территории г.п.Белоярский, включая ликвидацию объектов, утративших технологическую необходимость или пришедших в ветхое состояние, систем инженерной инфраструктуры, хозяйственных построек, незаконных (самовольных) строений.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субсидий из бюджета Белоярского района  бюджетам поселений на осуществление мероприятий по освобождению земельных участков, планируемых для жилищного строительства.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Площадь земельных участков, предоставленных для строительства в расчете на 10 тыс.человек населения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Направление (подпрограмма)  «Улучшение жилищных условий населения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«Улучшение жилищных условий отдельных категорий граждан Белоярского района»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УЖКХ, Комитет по финансам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8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2.1.1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поддержки на приобретение жилья отдельным категориям граждан, проживающим на территории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редоставление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в г.п. Белоярский.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субсидий из бюджета Белоярского района бюджетам поселений на осуществление мероприятий по предоставлению субсидий участникам специальной военной операции и членам их семей, состоящим на учете в качестве нуждающихся в жилых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Предоставление социальных выплат (субсидии) на приобретение (строительство) жилых помещений в собственность гражданам из числа коренных малочисленных народов Ханты-Мансийского автономного округа – Юг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zh-CN" w:bidi="ar"/>
              </w:rPr>
              <w:t xml:space="preserve"> включенных в Единый перечень коренных малочисленных народов Российской Федерации, и членам их семей, проживающих на территории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«Реализация региональной программы обеспечения устойчивого сокращения  непригодного для проживания жилищного фонда»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4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Ответственный за реализацию:  УЖКХ, Комитет муниципальной собственности администрации Белоярского района, Комитет по финансам администрации Белоярского района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9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2.2.1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Улучшение жилищных условий граждан, проживающих в жилых помещениях, находящихся в многоквартирных домах, признанных аварийными и подлежащими сносу в установленном порядке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382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Осуществление мероприятий по  переселению граждан из аварийного жилищного фонда (признанного таковым с 1 января 2017 года до 1 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нваря 2022 года) в г.п.Белоярский.</w:t>
              <w:br/>
              <w:t xml:space="preserve">Предоставление субсидий из бюджета Белоярского района  бюджетам поселений на осуществление мероприятий по  переселению граждан из аварийного жилищного фонда (признанного таковым с 1 января 2017 года до 1 января 2022 года)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72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Количество квадратных метров расселенного аварийного жилищного фонда</w:t>
              <w:br w:type="textWrapping" w:clear="all"/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8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864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Комплекс процессных мероприятий «Строительство и приобретение жилья»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Ответственный за реализ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zh-CN" w:bidi="ar"/>
              </w:rPr>
              <w:t xml:space="preserve">ацию: УЖКХ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Комитет муниципальной собственности администрации Белоярского района, Комитет по финансам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419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Срок реализации: 2025-2030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годы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35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0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zh-CN" w:bidi="ar"/>
              </w:rPr>
              <w:t xml:space="preserve">2.3.1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Содействие в обеспечении жильем различных категорий граждан, формирования муниципального жилищного фонда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419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Строительство и (или) приобретение жилья в целях обеспечения жильем различных категорий граждан, формирования муници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пального жилищного фонда, в том числе маневренного.</w:t>
              <w:br/>
              <w:t xml:space="preserve">Предоставление субсидий из бюджета Белоярского района  бюджетам поселений на осуществление мероприятий по приобретению жилья в целях переселения граждан из аварийного жилищного фонда (признанного таковым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1 января 2017 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 до 1 января 2022 года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).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35" w:type="dxa"/>
            <w:vAlign w:val="top"/>
            <w:textDirection w:val="lrTb"/>
            <w:noWrap w:val="false"/>
          </w:tcPr>
          <w:p>
            <w:pPr>
              <w:pStyle w:val="65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Доля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561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03" w:type="dxa"/>
            <w:vAlign w:val="top"/>
            <w:textDirection w:val="lrTb"/>
            <w:noWrap/>
          </w:tcPr>
          <w:p>
            <w:pPr>
              <w:pStyle w:val="651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2.3.2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910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Улучшение жилищных условий граждан, проживающих в жилых помещениях, находящихся в многоквартирных домах, признанных аварийными и подлежащими сносу в установленном порядке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6419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Осуществление мероприятий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535" w:type="dxa"/>
            <w:vAlign w:val="top"/>
            <w:textDirection w:val="lrTb"/>
            <w:noWrap w:val="false"/>
          </w:tcPr>
          <w:p>
            <w:pPr>
              <w:pStyle w:val="651"/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  <w:t xml:space="preserve">Количество квадратных метров расселенного аварийного жилищного фонда</w:t>
              <w:br w:type="textWrapping" w:clear="all"/>
              <w:t xml:space="preserve">Количество граждан, расселенных из аварийного жилищного фонда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zh-CN" w:bidi="ar"/>
              </w:rPr>
            </w:r>
          </w:p>
        </w:tc>
      </w:tr>
    </w:tbl>
    <w:p>
      <w:pPr>
        <w:pStyle w:val="651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51"/>
        <w:jc w:val="center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pStyle w:val="651"/>
        <w:numPr>
          <w:ilvl w:val="0"/>
          <w:numId w:val="1"/>
        </w:numPr>
        <w:jc w:val="center"/>
        <w:pageBreakBefore/>
        <w:spacing w:after="160" w:line="25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Финансовое обеспечение муниципальной программы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945"/>
        <w:gridCol w:w="6455"/>
        <w:gridCol w:w="1135"/>
        <w:gridCol w:w="1040"/>
        <w:gridCol w:w="1087"/>
        <w:gridCol w:w="1134"/>
        <w:gridCol w:w="1040"/>
        <w:gridCol w:w="1087"/>
        <w:gridCol w:w="1134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 финансового обеспечения по годам, тыс. рублей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2027 год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2029 год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2030 год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Муниципальная программа «Обеспечение доступным и комфортным жильем жителей Белоярского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района» 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184 661,0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33 915,8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33 915,8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259 360,2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157 047,3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32 219,9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32 219,9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228 011,2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27 613,7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1 695,9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1 695,9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31 349,0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Объем налоговых расходов Белоярского района (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справочно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«Обеспечение градостроительной деятельности на территории Белоярского района» (всего),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2 439,2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13 885,2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13 048,2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264,5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837,0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ероприятие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«Обеспечение муниципальных образований Белоярского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района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документами территориального планирования и градостроительного зонирования, документаци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по планировке территории»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2 439,2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2 289,2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13 885,2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2 174,7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13 048,2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264,5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114,5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837,0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«Обеспечение мероприятий по освобождению и формированию земельных участков для жилищного строительства» (всего),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30 688,3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31 626,6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31 626,6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93 941,5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28 965,8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30 045,2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30 045,2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89 056,2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1 722,5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1 581,4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1 581,4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4 885,3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30 688,3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31 626,6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31 626,6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93 941,5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28 965,8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30 045,2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30 045,2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89 056,2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1 722,5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1 581,4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1 581,4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4 885,3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«Улучшение жилищных условий отдельных категорий граждан Белоярского района» (всего),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9 622,8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9 141,6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9 141,6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481,2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481,2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4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мероприятие «Пре</w:t>
            </w:r>
            <w:r>
              <w:rPr>
                <w:rFonts w:ascii="Times New Roman" w:hAnsi="Times New Roman" w:eastAsia="Times New Roman" w:cs="Times New Roman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</w:rPr>
              <w:t xml:space="preserve">г.п.Белоярский</w:t>
            </w:r>
            <w:r>
              <w:rPr>
                <w:rFonts w:ascii="Times New Roman" w:hAnsi="Times New Roman" w:eastAsia="Times New Roman" w:cs="Times New Roman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9 622,8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9 622,8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9 141,6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9 141,6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481,2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481,2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7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25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мероприятий «Реализация региональной программы обеспечения устойчивого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сокращения  непригодного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для проживания жилищного фонда»  (всего),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Комплекс процессных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мероприятий  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Строительство и приобретение жилья» (всего),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141 910,7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141 910,7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116 765,2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116 765,2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25 145,5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25 145,5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6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мероприятие  «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Приобретение жилья и осуществление выплат гражданам, в чьей собственности находятся жилые помещения, входящие в аварийный жилищный фонд» (всего), в том числе: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141 910,7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141 910,7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ХМАО-Югры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116 765,2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116 765,2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5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бюджет Белоярского района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25 145,5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25 145,5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Style w:val="651"/>
        <w:ind w:left="720"/>
        <w:spacing w:after="160" w:line="259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651"/>
        <w:jc w:val="center"/>
        <w:pageBreakBefore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4.1. Перечень мероприятий муниципальной программы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jc w:val="center"/>
        <w:pageBreakBefore w:val="0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31"/>
        <w:gridCol w:w="4783"/>
        <w:gridCol w:w="842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vAlign w:val="center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Наименование меропр</w:t>
            </w:r>
            <w:bookmarkStart w:id="0" w:name="undefined"/>
            <w:r>
              <w:rPr>
                <w:sz w:val="22"/>
                <w:szCs w:val="22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vAlign w:val="center"/>
            <w:textDirection w:val="lrTb"/>
            <w:noWrap w:val="false"/>
          </w:tcPr>
          <w:p>
            <w:pPr>
              <w:pStyle w:val="663"/>
              <w:ind w:left="0" w:right="16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Содержание мероприятия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«Обеспечение муниципальных образований Белоярского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района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документами территориального планирования и градостроительного зонирования, документация по планировке территории»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Обеспечение муниципал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ьных образований Белоярского района градостроительной документацией, документами территориального планирования и градостроительного зонирования, правилами благоустройства территорий, соответствующих установленным требованиям. Рациональное использование зем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ельных участков на основе документов территориального планирования, градостроительного зонирования, документации по планировке территории, способствующих дальнейшему развитию жилищной, социальной, инженерной и транспортной инфраструктур Белоярского района.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2.1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«Освобождение земельных участков, планируемых для жилищного строительства на территории Белоярского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Освобождение земельных участков, планируемых для жилищного строительства на территории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 Белоярский, включая ликвидацию объектов, утративших технологическую необходимость или пришедших в ветхое состояние, систем инженерной инфраструктуры, хозяйственных построек, незаконных (самовольных) строений.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освобождению земельных участков, планируемых для жилищного строительства.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3.1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 Белоярский»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доставление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. Белоярский.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Предоставление субсидий из бюджета Белоярского района бюджетам поселений на осуществление мероприятий по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редоставлению субсидий участникам специальной военной операции и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1" w:type="dxa"/>
            <w:vMerge w:val="restart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83" w:type="dxa"/>
            <w:vMerge w:val="restart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«Предоставление социальных выплат (субсидии) на приобретение (строительство) жилья гражданам из числа коренных малочисленных народов»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4" w:type="dxa"/>
            <w:vMerge w:val="restart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Предоставление социальных выплат (субсидии) на приобретение (строительство) жилых помещений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собственность гражданам из числа коренных малочисленных народов Ханты-Мансийского автономного округа – Югры, включенных в Единый перечень коренных малочисленных народов Российской Федерации, и членам их семей, проживающих на территории Белоярского района.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1931" w:type="dxa"/>
            <w:textDirection w:val="lrTb"/>
            <w:noWrap w:val="false"/>
          </w:tcPr>
          <w:p>
            <w:pPr>
              <w:pStyle w:val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5.1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4783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Мероприятие «Приобретение жилья и осуществление выплат гражданам, в чьей собственности находятся жилые помещения, входящие в аварийный жилищный фонд»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8424" w:type="dxa"/>
            <w:textDirection w:val="lrTb"/>
            <w:noWrap w:val="false"/>
          </w:tcPr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Приобретение жилья в целях обеспечения жильем различных категорий граждан, формирования муниципального жилищного фонда, в том числе маневренного, а также для привлеченных специалистов на работу в Арктическую зону.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Осуществление выплат гражданам, в чьей собственности находятся жилые помещения, входящие в аварийный жилищный фонд (признанного таковым с 1 января 2017 года до 1 января 2022 года).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  <w:p>
            <w:pPr>
              <w:pStyle w:val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Выплата гражданам, в чьей собственности находятся жилые помещения, входящие в аварийный жилищный фонд. Возмещение за изымаемые жилые помещения осуществляется в соответстви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статьей 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Ж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илищного кодекса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</w:r>
          </w:p>
        </w:tc>
      </w:tr>
    </w:tbl>
    <w:p>
      <w:pPr>
        <w:pStyle w:val="65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651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sectPr>
      <w:footnotePr/>
      <w:endnotePr/>
      <w:type w:val="nextPage"/>
      <w:pgSz w:w="16838" w:h="11906" w:orient="landscape"/>
      <w:pgMar w:top="760" w:right="898" w:bottom="1066" w:left="1020" w:header="720" w:footer="72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10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8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6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1"/>
    <w:next w:val="65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1"/>
    <w:next w:val="65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1"/>
    <w:next w:val="65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1"/>
    <w:next w:val="65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1"/>
    <w:next w:val="65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1"/>
    <w:next w:val="65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1"/>
    <w:next w:val="65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1"/>
    <w:next w:val="65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1"/>
    <w:next w:val="65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1"/>
    <w:next w:val="6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1"/>
    <w:next w:val="6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1"/>
    <w:next w:val="6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1"/>
    <w:next w:val="6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1"/>
    <w:next w:val="6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1"/>
    <w:next w:val="6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1"/>
    <w:next w:val="6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1"/>
    <w:next w:val="6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1"/>
    <w:next w:val="6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1"/>
    <w:next w:val="6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1"/>
    <w:next w:val="6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1"/>
    <w:next w:val="6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1"/>
    <w:next w:val="6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1"/>
    <w:next w:val="6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1"/>
    <w:next w:val="651"/>
    <w:uiPriority w:val="99"/>
    <w:unhideWhenUsed/>
    <w:pPr>
      <w:spacing w:after="0" w:afterAutospacing="0"/>
    </w:pPr>
  </w:style>
  <w:style w:type="paragraph" w:styleId="651" w:default="1">
    <w:name w:val="Normal"/>
    <w:next w:val="651"/>
    <w:link w:val="651"/>
    <w:qFormat/>
    <w:pPr>
      <w:jc w:val="both"/>
    </w:pPr>
    <w:rPr>
      <w:rFonts w:ascii="Calibri" w:hAnsi="Calibri"/>
      <w:sz w:val="21"/>
      <w:lang w:val="ru-RU" w:eastAsia="ru-RU" w:bidi="ar-SA"/>
    </w:rPr>
  </w:style>
  <w:style w:type="character" w:styleId="652">
    <w:name w:val="Основной шрифт абзаца"/>
    <w:next w:val="652"/>
    <w:link w:val="651"/>
    <w:uiPriority w:val="1"/>
    <w:semiHidden/>
    <w:unhideWhenUsed/>
  </w:style>
  <w:style w:type="table" w:styleId="653">
    <w:name w:val="Обычная таблица"/>
    <w:next w:val="653"/>
    <w:link w:val="651"/>
    <w:uiPriority w:val="99"/>
    <w:semiHidden/>
    <w:unhideWhenUsed/>
    <w:tblPr/>
  </w:style>
  <w:style w:type="numbering" w:styleId="654">
    <w:name w:val="Нет списка"/>
    <w:next w:val="654"/>
    <w:link w:val="651"/>
    <w:uiPriority w:val="99"/>
    <w:semiHidden/>
    <w:unhideWhenUsed/>
  </w:style>
  <w:style w:type="character" w:styleId="655">
    <w:name w:val="Гиперссылка"/>
    <w:next w:val="655"/>
    <w:link w:val="651"/>
    <w:qFormat/>
    <w:rPr>
      <w:color w:val="0000ff"/>
      <w:u w:val="single"/>
    </w:rPr>
  </w:style>
  <w:style w:type="paragraph" w:styleId="656">
    <w:name w:val="Текст выноски"/>
    <w:basedOn w:val="651"/>
    <w:next w:val="656"/>
    <w:link w:val="666"/>
    <w:qFormat/>
    <w:rPr>
      <w:rFonts w:ascii="Tahoma" w:hAnsi="Tahoma" w:cs="Tahoma"/>
      <w:sz w:val="16"/>
      <w:szCs w:val="16"/>
    </w:rPr>
  </w:style>
  <w:style w:type="paragraph" w:styleId="657">
    <w:name w:val="Основной текст с отступом 3"/>
    <w:basedOn w:val="651"/>
    <w:next w:val="657"/>
    <w:link w:val="669"/>
    <w:qFormat/>
    <w:pPr>
      <w:jc w:val="center"/>
    </w:pPr>
    <w:rPr>
      <w:rFonts w:ascii="Times New Roman" w:hAnsi="Times New Roman" w:eastAsia="Times New Roman" w:cs="Times New Roman"/>
      <w:sz w:val="24"/>
    </w:rPr>
  </w:style>
  <w:style w:type="paragraph" w:styleId="658">
    <w:name w:val="Верхний колонтитул"/>
    <w:basedOn w:val="651"/>
    <w:next w:val="658"/>
    <w:link w:val="66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59">
    <w:name w:val="Нижний колонтитул"/>
    <w:basedOn w:val="651"/>
    <w:next w:val="659"/>
    <w:link w:val="668"/>
    <w:unhideWhenUsed/>
    <w:qFormat/>
    <w:pPr>
      <w:tabs>
        <w:tab w:val="center" w:pos="4677" w:leader="none"/>
        <w:tab w:val="right" w:pos="9355" w:leader="none"/>
      </w:tabs>
    </w:pPr>
  </w:style>
  <w:style w:type="table" w:styleId="660">
    <w:name w:val="Сетка таблицы"/>
    <w:basedOn w:val="653"/>
    <w:next w:val="660"/>
    <w:link w:val="651"/>
    <w:uiPriority w:val="5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/>
  </w:style>
  <w:style w:type="paragraph" w:styleId="661">
    <w:name w:val="ConsPlusTitle"/>
    <w:next w:val="661"/>
    <w:link w:val="651"/>
    <w:qFormat/>
    <w:pPr>
      <w:widowControl w:val="off"/>
    </w:pPr>
    <w:rPr>
      <w:rFonts w:ascii="Calibri" w:hAnsi="Calibri" w:cs="Calibri"/>
      <w:b/>
      <w:szCs w:val="22"/>
      <w:lang w:val="ru-RU" w:eastAsia="ru-RU" w:bidi="ar-SA"/>
    </w:rPr>
  </w:style>
  <w:style w:type="paragraph" w:styleId="662">
    <w:name w:val="Без интервала"/>
    <w:next w:val="662"/>
    <w:link w:val="651"/>
    <w:uiPriority w:val="1"/>
    <w:qFormat/>
    <w:rPr>
      <w:sz w:val="22"/>
      <w:szCs w:val="22"/>
      <w:lang w:val="ru-RU" w:eastAsia="en-US" w:bidi="ar-SA"/>
    </w:rPr>
  </w:style>
  <w:style w:type="paragraph" w:styleId="663">
    <w:name w:val="ConsPlusNormal"/>
    <w:next w:val="663"/>
    <w:link w:val="670"/>
    <w:qFormat/>
    <w:pPr>
      <w:widowControl w:val="off"/>
    </w:pPr>
    <w:rPr>
      <w:rFonts w:ascii="Calibri" w:hAnsi="Calibri" w:cs="Calibri"/>
      <w:szCs w:val="22"/>
      <w:lang w:val="ru-RU" w:eastAsia="ru-RU" w:bidi="ar-SA"/>
    </w:rPr>
  </w:style>
  <w:style w:type="character" w:styleId="664">
    <w:name w:val="font01"/>
    <w:next w:val="664"/>
    <w:link w:val="651"/>
    <w:qFormat/>
    <w:rPr>
      <w:rFonts w:ascii="Times New Roman" w:hAnsi="Times New Roman" w:cs="Times New Roman"/>
      <w:color w:val="000000"/>
      <w:u w:val="none"/>
    </w:rPr>
  </w:style>
  <w:style w:type="character" w:styleId="665">
    <w:name w:val="font21"/>
    <w:next w:val="665"/>
    <w:link w:val="651"/>
    <w:qFormat/>
    <w:rPr>
      <w:rFonts w:ascii="Times New Roman" w:hAnsi="Times New Roman" w:cs="Times New Roman"/>
      <w:color w:val="000000"/>
      <w:u w:val="none"/>
    </w:rPr>
  </w:style>
  <w:style w:type="character" w:styleId="666">
    <w:name w:val="Текст выноски Знак"/>
    <w:next w:val="666"/>
    <w:link w:val="656"/>
    <w:qFormat/>
    <w:rPr>
      <w:rFonts w:ascii="Tahoma" w:hAnsi="Tahoma" w:cs="Tahoma"/>
      <w:sz w:val="16"/>
      <w:szCs w:val="16"/>
    </w:rPr>
  </w:style>
  <w:style w:type="character" w:styleId="667">
    <w:name w:val="Верхний колонтитул Знак"/>
    <w:next w:val="667"/>
    <w:link w:val="658"/>
    <w:uiPriority w:val="99"/>
    <w:qFormat/>
    <w:rPr>
      <w:rFonts w:ascii="Calibri" w:hAnsi="Calibri" w:cs="Times New Roman"/>
      <w:sz w:val="21"/>
    </w:rPr>
  </w:style>
  <w:style w:type="character" w:styleId="668">
    <w:name w:val="Нижний колонтитул Знак"/>
    <w:next w:val="668"/>
    <w:link w:val="659"/>
    <w:qFormat/>
    <w:rPr>
      <w:rFonts w:ascii="Calibri" w:hAnsi="Calibri" w:cs="Times New Roman"/>
      <w:sz w:val="21"/>
    </w:rPr>
  </w:style>
  <w:style w:type="character" w:styleId="669">
    <w:name w:val="Основной текст с отступом 3 Знак"/>
    <w:next w:val="669"/>
    <w:link w:val="657"/>
    <w:qFormat/>
    <w:rPr>
      <w:rFonts w:eastAsia="Times New Roman"/>
      <w:sz w:val="24"/>
    </w:rPr>
  </w:style>
  <w:style w:type="character" w:styleId="670">
    <w:name w:val="ConsPlusNormal Знак"/>
    <w:next w:val="670"/>
    <w:link w:val="663"/>
    <w:qFormat/>
    <w:rPr>
      <w:rFonts w:ascii="Calibri" w:hAnsi="Calibri" w:eastAsia="SimSun" w:cs="Calibri"/>
      <w:szCs w:val="22"/>
    </w:rPr>
  </w:style>
  <w:style w:type="character" w:styleId="6335" w:default="1">
    <w:name w:val="Default Paragraph Font"/>
    <w:uiPriority w:val="1"/>
    <w:semiHidden/>
    <w:unhideWhenUsed/>
  </w:style>
  <w:style w:type="numbering" w:styleId="6336" w:default="1">
    <w:name w:val="No List"/>
    <w:uiPriority w:val="99"/>
    <w:semiHidden/>
    <w:unhideWhenUsed/>
  </w:style>
  <w:style w:type="table" w:styleId="63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Zhkh1</dc:creator>
  <cp:lastModifiedBy>BordunAO</cp:lastModifiedBy>
  <cp:revision>4</cp:revision>
  <dcterms:created xsi:type="dcterms:W3CDTF">2024-12-05T09:35:00Z</dcterms:created>
  <dcterms:modified xsi:type="dcterms:W3CDTF">2025-12-09T06:24:51Z</dcterms:modified>
  <cp:version>1048576</cp:version>
</cp:coreProperties>
</file>