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6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64"/>
        <w:jc w:val="center"/>
      </w:pPr>
      <w:r/>
      <w:r/>
    </w:p>
    <w:p>
      <w:pPr>
        <w:pStyle w:val="865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zCs w:val="28"/>
          <w:lang w:val="ru-RU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65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6"/>
        <w:jc w:val="center"/>
        <w:rPr>
          <w:b/>
          <w:szCs w:val="24"/>
        </w:rPr>
      </w:pPr>
      <w:r>
        <w:rPr>
          <w:b/>
          <w:szCs w:val="24"/>
        </w:rPr>
        <w:t xml:space="preserve">Сообщение о возможном установлении публичного сервитута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4"/>
        <w:ind w:firstLine="708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соответствии со статьей 39.</w:t>
      </w:r>
      <w:r>
        <w:rPr>
          <w:rFonts w:eastAsia="Calibri"/>
          <w:color w:val="000000"/>
          <w:sz w:val="24"/>
          <w:szCs w:val="24"/>
          <w:shd w:val="clear" w:color="auto" w:fill="ffffff"/>
          <w:lang w:val="en-US" w:eastAsia="en-US"/>
        </w:rPr>
        <w:t xml:space="preserve">42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Земельного кодекса Российской Федерации от 25 октября 2001 года № 136-ФЗ, ходатайством об установлении публичного сервитута 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акционерного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общества «Россети Тюмень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»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, </w:t>
      </w:r>
      <w:r>
        <w:rPr>
          <w:sz w:val="24"/>
          <w:szCs w:val="24"/>
        </w:rPr>
        <w:t xml:space="preserve">на основании </w:t>
      </w:r>
      <w:r>
        <w:rPr>
          <w:sz w:val="24"/>
          <w:szCs w:val="24"/>
          <w:lang w:val="ru-RU"/>
        </w:rPr>
        <w:t xml:space="preserve">представленных</w:t>
      </w:r>
      <w:r>
        <w:rPr>
          <w:sz w:val="24"/>
          <w:szCs w:val="24"/>
          <w:lang w:val="ru-RU"/>
        </w:rPr>
        <w:t xml:space="preserve"> документов</w:t>
      </w:r>
      <w:r>
        <w:rPr>
          <w:rFonts w:eastAsia="Calibri"/>
          <w:color w:val="000000"/>
          <w:sz w:val="24"/>
          <w:szCs w:val="24"/>
          <w:highlight w:val="none"/>
          <w:shd w:val="clear" w:color="auto" w:fill="ffffff"/>
          <w:lang w:eastAsia="en-US"/>
        </w:rPr>
        <w:t xml:space="preserve">,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администрация 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Белоярского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 района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сообщает о возможном установлении публичного сервитута в отношении части  земельных участков и земель: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r>
    </w:p>
    <w:p>
      <w:pPr>
        <w:pStyle w:val="864"/>
        <w:ind w:firstLine="708"/>
        <w:jc w:val="both"/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- земельного участка с кадастровым номером 86:06:00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00000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6283 (площадью 2 кв.м.)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 из земель населенного пункта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поселка Казым, местоположение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: 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</w:rPr>
        <w:t xml:space="preserve">Ханты-Мансийский автономный округ - Югра, Белоярский район, с. Казым, ул. Совхозная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  <w:lang w:val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</w:r>
    </w:p>
    <w:p>
      <w:pPr>
        <w:pStyle w:val="864"/>
        <w:ind w:firstLine="708"/>
        <w:jc w:val="both"/>
      </w:pP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- земельного участка с кадастровым номером 86:06:00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20503:723 (площадью 224 кв.м.)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 из земель населенного пункта пункта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поселка Казым,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расположенного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по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 адрес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: 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</w:rPr>
        <w:t xml:space="preserve">Ханты-Мансийский автономный округ - Югра, муниципальный район Белоярский, сельское поселение 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</w:rPr>
        <w:t xml:space="preserve">Казым, село Казым, улица Совхозная, земельный участок 11а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  <w:lang w:val="ru-RU"/>
        </w:rPr>
        <w:t xml:space="preserve">;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</w:rPr>
      </w:r>
      <w:r/>
    </w:p>
    <w:p>
      <w:pPr>
        <w:pStyle w:val="864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</w:pPr>
      <w:r>
        <w:rPr>
          <w:rFonts w:ascii="Times New Roman" w:hAnsi="Times New Roman" w:eastAsia="TimesNewRomanPSMT" w:cs="Times New Roman"/>
          <w:sz w:val="24"/>
          <w:szCs w:val="24"/>
          <w:shd w:val="clear" w:color="auto" w:fill="auto"/>
          <w:lang w:val="ru-RU" w:eastAsia="en-US"/>
        </w:rPr>
        <w:t xml:space="preserve">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  <w:shd w:val="clear" w:color="auto" w:fill="auto"/>
          <w:lang w:val="ru-RU" w:eastAsia="en-US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земли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в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кадастров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ом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квартале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86:06:0020503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, площадью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 39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кв.м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.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, местоположение: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Ханты-Мансийский автономный округ - Югра, 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с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е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л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ь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с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к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о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е</w:t>
      </w:r>
      <w:r>
        <w:rPr>
          <w:rFonts w:ascii="Times New Roman" w:hAnsi="Times New Roman" w:eastAsia="TimesNewRomanPSMT" w:cs="Times New Roman"/>
          <w:sz w:val="24"/>
          <w:szCs w:val="24"/>
          <w:lang w:val="ru-RU"/>
        </w:rPr>
        <w:t xml:space="preserve"> поселение Казым,, </w:t>
      </w:r>
      <w:r>
        <w:rPr>
          <w:rFonts w:ascii="Times New Roman" w:hAnsi="Times New Roman" w:eastAsia="TimesNewRomanPSMT" w:cs="Times New Roman"/>
          <w:sz w:val="24"/>
          <w:szCs w:val="24"/>
          <w:lang w:val="ru-RU"/>
        </w:rPr>
        <w:t xml:space="preserve">село Казым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  <w:lang w:val="ru-RU"/>
        </w:rPr>
        <w:t xml:space="preserve">,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  <w:t xml:space="preserve">в границах согласно прилагаем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val="ru-RU" w:eastAsia="en-US"/>
        </w:rPr>
        <w:t xml:space="preserve">ой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  <w:t xml:space="preserve"> схем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val="ru-RU" w:eastAsia="en-US"/>
        </w:rPr>
        <w:t xml:space="preserve">ы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</w:r>
    </w:p>
    <w:p>
      <w:pPr>
        <w:pStyle w:val="86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Цель установления публичного сервитута: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val="ru-RU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строительство, реконструкция,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эксплуатация,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капитальный ремонт объектов электросетевого хозяйства, тепловых сетей, водопроводных сетей, сетей водоотведения, линий и сооружений связи,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линейных объектов системы газоснабжения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, нефтепроводов и нефтепродуктопроводов,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их неотъемлемых технологических частей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, если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указанные объекты являются объектами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федерального, регионального или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местного значения,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либо необходимы для организации электро-, газо-, тепло-, водоснабжения населения и водоотведения, подкл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ючения (технологического присоединения) к сетям инженерно-технического обес</w:t>
      </w:r>
      <w:r>
        <w:rPr>
          <w:rFonts w:ascii="Times New Roman" w:hAnsi="Times New Roman" w:cs="Times New Roman"/>
          <w:sz w:val="24"/>
          <w:szCs w:val="24"/>
        </w:rPr>
        <w:t xml:space="preserve">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4"/>
        <w:ind w:firstLine="708"/>
        <w:jc w:val="both"/>
        <w:rPr>
          <w:rFonts w:eastAsia="Calibri"/>
          <w:color w:val="000000"/>
          <w:sz w:val="24"/>
          <w:szCs w:val="24"/>
          <w:highlight w:val="none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Все заинтересованные лица могут ознакомиться с вышеуказанным ходатайством об установлении публичного сервитута и прилагаемым к нему описанием местоположен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ия границ публичного  сервитута, подать заявление об учете прав на земельные участки по адресу: Тюменская область, Ханты-Мансийский автономный округ – Югра, город Белоярский,  улица Центральная, дом 11, кабинет 208, с 09 часов 00 минут местного времени до </w:t>
      </w:r>
      <w:r>
        <w:rPr>
          <w:sz w:val="24"/>
          <w:szCs w:val="24"/>
        </w:rPr>
        <w:t xml:space="preserve">17 часов 00 минут местного времени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 рабочие дни, телефон для справок 8(34670) 2-07-46.</w:t>
      </w:r>
      <w:r>
        <w:rPr>
          <w:rFonts w:eastAsia="Calibri"/>
          <w:color w:val="000000"/>
          <w:sz w:val="24"/>
          <w:szCs w:val="24"/>
          <w:highlight w:val="none"/>
          <w:shd w:val="clear" w:color="auto" w:fill="ffffff"/>
          <w:lang w:eastAsia="en-US"/>
        </w:rPr>
      </w:r>
      <w:r>
        <w:rPr>
          <w:rFonts w:eastAsia="Calibri"/>
          <w:color w:val="000000"/>
          <w:sz w:val="24"/>
          <w:szCs w:val="24"/>
          <w:highlight w:val="none"/>
          <w:shd w:val="clear" w:color="auto" w:fill="ffffff"/>
          <w:lang w:eastAsia="en-US"/>
        </w:rPr>
      </w:r>
    </w:p>
    <w:p>
      <w:pPr>
        <w:pStyle w:val="864"/>
        <w:ind w:left="0" w:firstLine="708"/>
        <w:jc w:val="both"/>
        <w:keepLines w:val="0"/>
        <w:keepNext w:val="0"/>
        <w:shd w:val="clear" w:color="auto" w:fill="ffffff"/>
        <w:widowControl/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  <w:suppressLineNumbers w:val="0"/>
      </w:pPr>
      <w:r>
        <w:rPr>
          <w:rFonts w:ascii="Times New Roman" w:hAnsi="Times New Roman" w:eastAsia="Helvetica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Срок подачи заявлений об учете прав на земельные участки:</w:t>
      </w:r>
      <w:r>
        <w:rPr>
          <w:rFonts w:ascii="Times New Roman" w:hAnsi="Times New Roman" w:eastAsia="Helvetica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в течение пятнадцати дней со дня опубликования сообщения о возможном уста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новлении публичного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сервитута.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r>
    </w:p>
    <w:p>
      <w:pPr>
        <w:pStyle w:val="864"/>
        <w:ind w:firstLine="708"/>
        <w:jc w:val="both"/>
        <w:rPr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Настоящее сообщение размещено в информационно – телекоммуникационной сети «Интернет» на официальном 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администрации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 района </w:t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fldChar w:fldCharType="begin"/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instrText xml:space="preserve"> HYPERLINK "http://admbel.ru/" </w:instrText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fldChar w:fldCharType="separate"/>
      </w:r>
      <w:r>
        <w:rPr>
          <w:rStyle w:val="873"/>
          <w:rFonts w:eastAsia="Calibri"/>
          <w:sz w:val="22"/>
          <w:szCs w:val="22"/>
          <w:shd w:val="clear" w:color="auto" w:fill="ffffff"/>
          <w:lang w:eastAsia="en-US"/>
        </w:rPr>
        <w:t xml:space="preserve">http://admbel.ru/</w:t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fldChar w:fldCharType="end"/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,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сайте 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органов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 местного самоуправления сельского поселения Казым </w:t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fldChar w:fldCharType="begin"/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instrText xml:space="preserve"> HYPERLINK "http://admbel.ru/" </w:instrText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fldChar w:fldCharType="separate"/>
      </w:r>
      <w:r>
        <w:rPr>
          <w:rStyle w:val="873"/>
          <w:rFonts w:eastAsia="Calibri"/>
          <w:sz w:val="22"/>
          <w:szCs w:val="22"/>
          <w:shd w:val="clear" w:color="auto" w:fill="ffffff"/>
          <w:lang w:eastAsia="en-US"/>
        </w:rPr>
        <w:t xml:space="preserve">http://a</w:t>
      </w:r>
      <w:r>
        <w:rPr>
          <w:rStyle w:val="873"/>
          <w:rFonts w:eastAsia="Calibri"/>
          <w:sz w:val="22"/>
          <w:szCs w:val="22"/>
          <w:shd w:val="clear" w:color="auto" w:fill="ffffff"/>
          <w:lang w:val="en-US" w:eastAsia="en-US"/>
        </w:rPr>
        <w:t xml:space="preserve">dmkazym</w:t>
      </w:r>
      <w:r>
        <w:rPr>
          <w:rStyle w:val="873"/>
          <w:rFonts w:eastAsia="Calibri"/>
          <w:sz w:val="22"/>
          <w:szCs w:val="22"/>
          <w:shd w:val="clear" w:color="auto" w:fill="ffffff"/>
          <w:lang w:eastAsia="en-US"/>
        </w:rPr>
        <w:t xml:space="preserve">.ru/</w:t>
      </w:r>
      <w:r>
        <w:rPr>
          <w:rFonts w:eastAsia="Calibri"/>
          <w:color w:val="225e91"/>
          <w:sz w:val="22"/>
          <w:szCs w:val="22"/>
          <w:shd w:val="clear" w:color="auto" w:fill="ffffff"/>
          <w:lang w:eastAsia="en-US"/>
        </w:rPr>
        <w:fldChar w:fldCharType="end"/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 </w:t>
      </w:r>
      <w:r>
        <w:rPr>
          <w:rFonts w:eastAsia="Calibri"/>
          <w:color w:val="225e91"/>
          <w:sz w:val="24"/>
          <w:szCs w:val="24"/>
          <w:shd w:val="clear" w:color="auto" w:fill="ffffff"/>
          <w:lang w:eastAsia="en-US"/>
        </w:rPr>
        <w:t xml:space="preserve">,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а также опубликовано в 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бюллетене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«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Официальный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 вестник сельского поселения Казым» и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газете «Белоярские вести. Официальный выпуск».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муниципальной собственности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Cs w:val="24"/>
          <w:lang w:val="ru-RU"/>
        </w:rPr>
      </w:pPr>
      <w:r>
        <w:rPr>
          <w:szCs w:val="24"/>
        </w:rPr>
        <w:t xml:space="preserve">администрации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   А.В. Трофим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00" distR="63500" simplePos="0" relativeHeight="250609663" behindDoc="1" locked="0" layoutInCell="1" allowOverlap="1">
                <wp:simplePos x="0" y="0"/>
                <wp:positionH relativeFrom="margin">
                  <wp:posOffset>262255</wp:posOffset>
                </wp:positionH>
                <wp:positionV relativeFrom="paragraph">
                  <wp:posOffset>12798425</wp:posOffset>
                </wp:positionV>
                <wp:extent cx="1054735" cy="143256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473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0609663;o:allowoverlap:true;o:allowincell:true;mso-position-horizontal-relative:margin;margin-left:20.65pt;mso-position-horizontal:absolute;mso-position-vertical-relative:text;margin-top:1007.75pt;mso-position-vertical:absolute;width:83.05pt;height:112.80pt;mso-wrap-distance-left:5.00pt;mso-wrap-distance-top:0.00pt;mso-wrap-distance-right:5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00" distR="63500" simplePos="0" relativeHeight="524288" behindDoc="1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12646025</wp:posOffset>
                </wp:positionV>
                <wp:extent cx="1054735" cy="143256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5473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524288;o:allowoverlap:true;o:allowincell:true;mso-position-horizontal-relative:margin;margin-left:8.65pt;mso-position-horizontal:absolute;mso-position-vertical-relative:text;margin-top:995.75pt;mso-position-vertical:absolute;width:83.05pt;height:112.80pt;mso-wrap-distance-left:5.00pt;mso-wrap-distance-top:0.00pt;mso-wrap-distance-right:5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lang w:val="ru-RU"/>
        </w:rPr>
        <w:t xml:space="preserve">ов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                                                            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709" w:right="850" w:bottom="709" w:left="1701" w:header="0" w:footer="0" w:gutter="0"/>
      <w:pgNumType w:start="2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Verdana">
    <w:panose1 w:val="020B0604030504040204"/>
  </w:font>
  <w:font w:name="sans-serif">
    <w:panose1 w:val="02000603000000000000"/>
  </w:font>
  <w:font w:name="Tahoma">
    <w:panose1 w:val="020B0604030504040204"/>
  </w:font>
  <w:font w:name="Arial">
    <w:panose1 w:val="020B0604020202020204"/>
  </w:font>
  <w:font w:name="Helvetica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tabs>
        <w:tab w:val="center" w:pos="4536" w:leader="none"/>
        <w:tab w:val="right" w:pos="9072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tabs>
        <w:tab w:val="center" w:pos="4536" w:leader="none"/>
        <w:tab w:val="right" w:pos="9072" w:leader="none"/>
      </w:tabs>
    </w:pPr>
    <w:r/>
    <w:r/>
  </w:p>
  <w:p>
    <w:pPr>
      <w:pStyle w:val="878"/>
      <w:jc w:val="center"/>
      <w:tabs>
        <w:tab w:val="center" w:pos="4536" w:leader="none"/>
        <w:tab w:val="right" w:pos="9072" w:leader="none"/>
      </w:tabs>
    </w:pPr>
    <w:r/>
    <w:r/>
  </w:p>
  <w:p>
    <w:pPr>
      <w:pStyle w:val="878"/>
      <w:ind w:left="720"/>
      <w:jc w:val="center"/>
      <w:tabs>
        <w:tab w:val="center" w:pos="4536" w:leader="none"/>
        <w:tab w:val="right" w:pos="9072" w:leader="none"/>
      </w:tabs>
    </w:pPr>
    <w:r/>
    <w:r/>
  </w:p>
  <w:p>
    <w:pPr>
      <w:pStyle w:val="878"/>
      <w:tabs>
        <w:tab w:val="center" w:pos="4536" w:leader="none"/>
        <w:tab w:val="right" w:pos="9072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lang w:val="ru-RU" w:eastAsia="ru-RU" w:bidi="ar-SA"/>
    </w:rPr>
  </w:style>
  <w:style w:type="paragraph" w:styleId="865">
    <w:name w:val="Заголовок 1"/>
    <w:basedOn w:val="864"/>
    <w:next w:val="864"/>
    <w:link w:val="870"/>
    <w:qFormat/>
    <w:pPr>
      <w:jc w:val="center"/>
      <w:keepNext/>
      <w:outlineLvl w:val="0"/>
    </w:pPr>
    <w:rPr>
      <w:b/>
      <w:sz w:val="28"/>
    </w:rPr>
  </w:style>
  <w:style w:type="paragraph" w:styleId="866">
    <w:name w:val="Заголовок 2"/>
    <w:basedOn w:val="864"/>
    <w:next w:val="864"/>
    <w:link w:val="871"/>
    <w:qFormat/>
    <w:pPr>
      <w:jc w:val="center"/>
      <w:keepNext/>
      <w:outlineLvl w:val="1"/>
    </w:pPr>
    <w:rPr>
      <w:b/>
      <w:sz w:val="24"/>
    </w:rPr>
  </w:style>
  <w:style w:type="paragraph" w:styleId="867">
    <w:name w:val="Заголовок 3"/>
    <w:basedOn w:val="864"/>
    <w:next w:val="864"/>
    <w:link w:val="872"/>
    <w:qFormat/>
    <w:pPr>
      <w:jc w:val="center"/>
      <w:keepNext/>
      <w:outlineLvl w:val="2"/>
    </w:pPr>
    <w:rPr>
      <w:sz w:val="28"/>
    </w:rPr>
  </w:style>
  <w:style w:type="character" w:styleId="868">
    <w:name w:val="Основной шрифт абзаца"/>
    <w:next w:val="868"/>
    <w:link w:val="864"/>
    <w:semiHidden/>
  </w:style>
  <w:style w:type="table" w:styleId="869">
    <w:name w:val="Обычная таблица"/>
    <w:next w:val="869"/>
    <w:link w:val="864"/>
    <w:semiHidden/>
    <w:tblPr/>
  </w:style>
  <w:style w:type="character" w:styleId="870">
    <w:name w:val="Заголовок 1 Знак"/>
    <w:next w:val="870"/>
    <w:link w:val="865"/>
    <w:rPr>
      <w:b/>
      <w:sz w:val="28"/>
    </w:rPr>
  </w:style>
  <w:style w:type="character" w:styleId="871">
    <w:name w:val="Заголовок 2 Знак"/>
    <w:next w:val="871"/>
    <w:link w:val="866"/>
    <w:rPr>
      <w:b/>
      <w:sz w:val="24"/>
    </w:rPr>
  </w:style>
  <w:style w:type="character" w:styleId="872">
    <w:name w:val="Заголовок 3 Знак"/>
    <w:next w:val="872"/>
    <w:link w:val="867"/>
    <w:rPr>
      <w:sz w:val="28"/>
    </w:rPr>
  </w:style>
  <w:style w:type="character" w:styleId="873">
    <w:name w:val="Гиперссылка"/>
    <w:next w:val="873"/>
    <w:link w:val="864"/>
    <w:rPr>
      <w:color w:val="0000ff"/>
      <w:u w:val="single"/>
    </w:rPr>
  </w:style>
  <w:style w:type="character" w:styleId="874">
    <w:name w:val="Номер страницы"/>
    <w:basedOn w:val="868"/>
    <w:next w:val="874"/>
    <w:link w:val="864"/>
  </w:style>
  <w:style w:type="paragraph" w:styleId="875">
    <w:name w:val="Текст выноски"/>
    <w:basedOn w:val="864"/>
    <w:next w:val="875"/>
    <w:link w:val="864"/>
    <w:semiHidden/>
    <w:rPr>
      <w:rFonts w:ascii="Tahoma" w:hAnsi="Tahoma" w:cs="Tahoma"/>
      <w:sz w:val="16"/>
      <w:szCs w:val="16"/>
    </w:rPr>
  </w:style>
  <w:style w:type="paragraph" w:styleId="876">
    <w:name w:val="Основной текст с отступом 3"/>
    <w:basedOn w:val="864"/>
    <w:next w:val="876"/>
    <w:link w:val="877"/>
    <w:pPr>
      <w:jc w:val="center"/>
    </w:pPr>
    <w:rPr>
      <w:sz w:val="24"/>
    </w:rPr>
  </w:style>
  <w:style w:type="character" w:styleId="877">
    <w:name w:val="Основной текст с отступом 3 Знак"/>
    <w:next w:val="877"/>
    <w:link w:val="876"/>
    <w:rPr>
      <w:sz w:val="24"/>
    </w:rPr>
  </w:style>
  <w:style w:type="paragraph" w:styleId="878">
    <w:name w:val="Верхний колонтитул"/>
    <w:basedOn w:val="864"/>
    <w:next w:val="878"/>
    <w:link w:val="879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879">
    <w:name w:val="Верхний колонтитул Знак"/>
    <w:next w:val="879"/>
    <w:link w:val="878"/>
    <w:uiPriority w:val="99"/>
    <w:rPr>
      <w:sz w:val="24"/>
    </w:rPr>
  </w:style>
  <w:style w:type="paragraph" w:styleId="880">
    <w:name w:val="Основной текст с отступом"/>
    <w:basedOn w:val="864"/>
    <w:next w:val="880"/>
    <w:link w:val="864"/>
    <w:pPr>
      <w:ind w:left="283"/>
      <w:spacing w:after="120"/>
    </w:pPr>
  </w:style>
  <w:style w:type="paragraph" w:styleId="881">
    <w:name w:val="Нижний колонтитул"/>
    <w:basedOn w:val="864"/>
    <w:next w:val="881"/>
    <w:link w:val="86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82">
    <w:name w:val=" Знак Знак1 Знак Знак Знак Знак Знак Знак Знак"/>
    <w:basedOn w:val="864"/>
    <w:next w:val="882"/>
    <w:link w:val="864"/>
    <w:pPr>
      <w:spacing w:after="160" w:line="240" w:lineRule="exact"/>
    </w:pPr>
    <w:rPr>
      <w:rFonts w:ascii="Verdana" w:hAnsi="Verdana"/>
      <w:lang w:val="en-US" w:eastAsia="en-US"/>
    </w:rPr>
  </w:style>
  <w:style w:type="paragraph" w:styleId="883">
    <w:name w:val="ConsPlusNormal"/>
    <w:next w:val="883"/>
    <w:link w:val="864"/>
    <w:rPr>
      <w:sz w:val="24"/>
      <w:szCs w:val="24"/>
      <w:lang w:val="ru-RU" w:eastAsia="ru-RU" w:bidi="ar-SA"/>
    </w:rPr>
  </w:style>
  <w:style w:type="paragraph" w:styleId="884">
    <w:name w:val="Абзац списка"/>
    <w:basedOn w:val="864"/>
    <w:next w:val="884"/>
    <w:link w:val="864"/>
    <w:uiPriority w:val="34"/>
    <w:qFormat/>
    <w:pPr>
      <w:contextualSpacing/>
      <w:ind w:left="720"/>
      <w:jc w:val="both"/>
    </w:pPr>
    <w:rPr>
      <w:rFonts w:eastAsia="Calibri"/>
      <w:sz w:val="28"/>
      <w:szCs w:val="22"/>
      <w:lang w:eastAsia="en-US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</dc:creator>
  <cp:lastModifiedBy>GrigorevaEV</cp:lastModifiedBy>
  <cp:revision>6</cp:revision>
  <dcterms:created xsi:type="dcterms:W3CDTF">2021-11-15T07:31:00Z</dcterms:created>
  <dcterms:modified xsi:type="dcterms:W3CDTF">2025-12-02T09:05:27Z</dcterms:modified>
</cp:coreProperties>
</file>