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sz w:val="24"/>
          <w:szCs w:val="24"/>
        </w:rPr>
      </w:pPr>
      <w:r>
        <w:rPr/>
        <w:drawing>
          <wp:inline distT="0" distB="0" distL="0" distR="0">
            <wp:extent cx="639445" cy="88646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2" t="-163" r="-222" b="-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БЕЛОЯРСКИЙ РАЙОН</w:t>
      </w:r>
    </w:p>
    <w:p>
      <w:pPr>
        <w:pStyle w:val="Heading3"/>
        <w:rPr/>
      </w:pPr>
      <w:r>
        <w:rPr>
          <w:b/>
          <w:sz w:val="20"/>
        </w:rPr>
        <w:t>ХАНТЫ-МАНСИЙСКИЙ АВТОНОМНЫЙ ОКРУГ – ЮГРА</w:t>
      </w:r>
    </w:p>
    <w:p>
      <w:pPr>
        <w:pStyle w:val="Heading1"/>
        <w:rPr>
          <w:b w:val="false"/>
          <w:sz w:val="20"/>
          <w:szCs w:val="28"/>
        </w:rPr>
      </w:pPr>
      <w:r>
        <w:rPr>
          <w:b w:val="false"/>
          <w:sz w:val="20"/>
          <w:szCs w:val="28"/>
        </w:rPr>
      </w:r>
    </w:p>
    <w:p>
      <w:pPr>
        <w:pStyle w:val="Heading1"/>
        <w:rPr/>
      </w:pPr>
      <w:r>
        <w:rPr>
          <w:szCs w:val="28"/>
        </w:rPr>
        <w:t>АДМИНИСТРАЦИЯ БЕЛОЯРСКОГО РАЙОНА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Heading1"/>
        <w:rPr/>
      </w:pPr>
      <w:r>
        <w:rPr/>
        <w:t>ПОСТАНОВЛЕНИЕ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31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/>
      </w:pPr>
      <w:r>
        <w:rPr>
          <w:sz w:val="24"/>
          <w:szCs w:val="24"/>
        </w:rPr>
        <w:t>от________________ года</w:t>
        <w:tab/>
        <w:tab/>
        <w:tab/>
        <w:tab/>
        <w:tab/>
        <w:tab/>
        <w:tab/>
        <w:t xml:space="preserve">                          № ___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Об утверждении муниципальной программы Белоярского района</w:t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«Цифровое развитие»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720"/>
        <w:jc w:val="both"/>
        <w:rPr/>
      </w:pPr>
      <w:r>
        <w:rPr>
          <w:sz w:val="24"/>
          <w:szCs w:val="24"/>
        </w:rPr>
        <w:t>В соответствии с постановлением администрации Белоярского района от 3 сентября 2018 года №776 «Об утверждении  Порядка принятия решений о разработке, формировании и реализации муниципальных программ Белоярского района», распоряжением администрации Белоярского района от 15 августа 2018 года № 245-р «О Перечне муниципальных программ Белоярского района»  п о с т а н о в л я ю:</w:t>
      </w:r>
    </w:p>
    <w:p>
      <w:pPr>
        <w:pStyle w:val="Normal"/>
        <w:tabs>
          <w:tab w:val="clear" w:pos="709"/>
          <w:tab w:val="left" w:pos="1018" w:leader="none"/>
        </w:tabs>
        <w:ind w:firstLine="720"/>
        <w:jc w:val="both"/>
        <w:rPr/>
      </w:pPr>
      <w:r>
        <w:rPr>
          <w:sz w:val="24"/>
          <w:szCs w:val="24"/>
        </w:rPr>
        <w:t>1. Утвердить прилагаемую муниципальную программу Белоярского района «Цифровое развитие».</w:t>
      </w:r>
    </w:p>
    <w:p>
      <w:pPr>
        <w:pStyle w:val="Normal"/>
        <w:tabs>
          <w:tab w:val="clear" w:pos="709"/>
          <w:tab w:val="left" w:pos="1157" w:leader="none"/>
        </w:tabs>
        <w:ind w:firstLine="720"/>
        <w:jc w:val="both"/>
        <w:rPr/>
      </w:pPr>
      <w:r>
        <w:rPr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>
      <w:pPr>
        <w:pStyle w:val="Normal"/>
        <w:tabs>
          <w:tab w:val="clear" w:pos="709"/>
          <w:tab w:val="left" w:pos="1157" w:leader="none"/>
        </w:tabs>
        <w:ind w:firstLine="720"/>
        <w:jc w:val="both"/>
        <w:rPr/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опубликования, но не ранее 1 января 2025 года.</w:t>
      </w:r>
    </w:p>
    <w:p>
      <w:pPr>
        <w:pStyle w:val="Normal"/>
        <w:tabs>
          <w:tab w:val="clear" w:pos="709"/>
          <w:tab w:val="left" w:pos="1157" w:leader="none"/>
        </w:tabs>
        <w:ind w:firstLine="720"/>
        <w:jc w:val="both"/>
        <w:rPr/>
      </w:pPr>
      <w:r>
        <w:rPr>
          <w:sz w:val="24"/>
          <w:szCs w:val="24"/>
        </w:rPr>
        <w:t>4. Контроль за выполнением постановления возложить на заместителя главы Белоярского района Ващука В.А.</w:t>
      </w:r>
    </w:p>
    <w:p>
      <w:pPr>
        <w:pStyle w:val="31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31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31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sectPr>
          <w:footerReference w:type="even" r:id="rId3"/>
          <w:footerReference w:type="default" r:id="rId4"/>
          <w:footerReference w:type="first" r:id="rId5"/>
          <w:type w:val="nextPage"/>
          <w:pgSz w:w="11906" w:h="16838"/>
          <w:pgMar w:left="1701" w:right="851" w:gutter="0" w:header="0" w:top="794" w:footer="709" w:bottom="794"/>
          <w:pgNumType w:start="1" w:fmt="decimal"/>
          <w:formProt w:val="false"/>
          <w:titlePg/>
          <w:textDirection w:val="lrTb"/>
          <w:docGrid w:type="default" w:linePitch="212" w:charSpace="16384"/>
        </w:sectPr>
        <w:pStyle w:val="31"/>
        <w:jc w:val="both"/>
        <w:rPr/>
      </w:pPr>
      <w:r>
        <w:rPr/>
        <w:t>Глава Белоярского района                                                                                     С.П.Маненков</w:t>
      </w:r>
      <w:r>
        <w:br w:type="page"/>
      </w:r>
    </w:p>
    <w:p>
      <w:pPr>
        <w:pStyle w:val="Normal"/>
        <w:ind w:left="5381"/>
        <w:jc w:val="right"/>
        <w:rPr/>
      </w:pPr>
      <w:r>
        <w:rPr>
          <w:sz w:val="24"/>
          <w:szCs w:val="24"/>
        </w:rPr>
        <w:t>УТВЕРЖДЕНА</w:t>
      </w:r>
    </w:p>
    <w:p>
      <w:pPr>
        <w:pStyle w:val="Normal"/>
        <w:ind w:left="5382"/>
        <w:jc w:val="right"/>
        <w:rPr/>
      </w:pPr>
      <w:r>
        <w:rPr>
          <w:sz w:val="24"/>
          <w:szCs w:val="24"/>
        </w:rPr>
        <w:t>постановлением администрации</w:t>
      </w:r>
    </w:p>
    <w:p>
      <w:pPr>
        <w:pStyle w:val="Normal"/>
        <w:ind w:left="5382"/>
        <w:jc w:val="right"/>
        <w:rPr/>
      </w:pPr>
      <w:r>
        <w:rPr>
          <w:sz w:val="24"/>
          <w:szCs w:val="24"/>
        </w:rPr>
        <w:t>Белоярского района</w:t>
      </w:r>
    </w:p>
    <w:p>
      <w:pPr>
        <w:pStyle w:val="Normal"/>
        <w:ind w:left="5382"/>
        <w:jc w:val="right"/>
        <w:rPr/>
      </w:pPr>
      <w:r>
        <w:rPr>
          <w:sz w:val="24"/>
          <w:szCs w:val="24"/>
        </w:rPr>
        <w:t>от _______________ № _______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false"/>
        <w:jc w:val="center"/>
        <w:rPr>
          <w:sz w:val="24"/>
          <w:szCs w:val="24"/>
        </w:rPr>
      </w:pPr>
      <w:r>
        <w:rPr>
          <w:bCs/>
          <w:sz w:val="24"/>
          <w:szCs w:val="24"/>
          <w:lang w:eastAsia="ru-RU"/>
        </w:rPr>
        <w:t xml:space="preserve">Муниципальная программа Белоярского района </w:t>
      </w:r>
      <w:r>
        <w:rPr>
          <w:sz w:val="24"/>
          <w:szCs w:val="24"/>
          <w:lang w:eastAsia="ru-RU"/>
        </w:rPr>
        <w:t>«Цифровое развитие»</w:t>
      </w:r>
    </w:p>
    <w:p>
      <w:pPr>
        <w:pStyle w:val="Normal"/>
        <w:numPr>
          <w:ilvl w:val="0"/>
          <w:numId w:val="0"/>
        </w:numPr>
        <w:suppressAutoHyphens w:val="false"/>
        <w:jc w:val="center"/>
        <w:outlineLvl w:val="0"/>
        <w:rPr>
          <w:sz w:val="24"/>
          <w:szCs w:val="24"/>
        </w:rPr>
      </w:pPr>
      <w:r>
        <w:rPr>
          <w:sz w:val="24"/>
          <w:szCs w:val="24"/>
          <w:lang w:eastAsia="ru-RU"/>
        </w:rPr>
        <w:t>(далее – муниципальная программа)</w:t>
      </w:r>
    </w:p>
    <w:p>
      <w:pPr>
        <w:pStyle w:val="Normal"/>
        <w:suppressAutoHyphens w:val="false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jc w:val="center"/>
        <w:outlineLvl w:val="0"/>
        <w:rPr>
          <w:sz w:val="24"/>
          <w:szCs w:val="24"/>
        </w:rPr>
      </w:pPr>
      <w:r>
        <w:rPr>
          <w:sz w:val="24"/>
          <w:szCs w:val="24"/>
          <w:lang w:eastAsia="ru-RU"/>
        </w:rPr>
        <w:t>ПАСПОРТ</w:t>
      </w:r>
    </w:p>
    <w:p>
      <w:pPr>
        <w:pStyle w:val="Normal"/>
        <w:numPr>
          <w:ilvl w:val="0"/>
          <w:numId w:val="0"/>
        </w:numPr>
        <w:suppressAutoHyphens w:val="false"/>
        <w:jc w:val="center"/>
        <w:outlineLvl w:val="0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муниципальной программы </w:t>
      </w:r>
    </w:p>
    <w:p>
      <w:pPr>
        <w:pStyle w:val="Normal"/>
        <w:numPr>
          <w:ilvl w:val="0"/>
          <w:numId w:val="0"/>
        </w:numPr>
        <w:suppressAutoHyphens w:val="false"/>
        <w:jc w:val="center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jc w:val="center"/>
        <w:outlineLvl w:val="0"/>
        <w:rPr>
          <w:sz w:val="24"/>
          <w:szCs w:val="24"/>
        </w:rPr>
      </w:pPr>
      <w:r>
        <w:rPr>
          <w:sz w:val="24"/>
          <w:szCs w:val="24"/>
          <w:lang w:val="en-US" w:eastAsia="ru-RU"/>
        </w:rPr>
        <w:t xml:space="preserve">1. </w:t>
      </w:r>
      <w:r>
        <w:rPr>
          <w:sz w:val="24"/>
          <w:szCs w:val="24"/>
          <w:lang w:eastAsia="ru-RU"/>
        </w:rPr>
        <w:t>Основные положения</w:t>
      </w:r>
    </w:p>
    <w:p>
      <w:pPr>
        <w:pStyle w:val="Normal"/>
        <w:numPr>
          <w:ilvl w:val="0"/>
          <w:numId w:val="0"/>
        </w:numPr>
        <w:suppressAutoHyphens w:val="false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5420" w:type="dxa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4049"/>
        <w:gridCol w:w="11370"/>
      </w:tblGrid>
      <w:tr>
        <w:trPr>
          <w:trHeight w:val="300" w:hRule="atLeast"/>
        </w:trPr>
        <w:tc>
          <w:tcPr>
            <w:tcW w:w="4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1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Белоярского района</w:t>
            </w:r>
          </w:p>
        </w:tc>
      </w:tr>
      <w:tr>
        <w:trPr>
          <w:trHeight w:val="630" w:hRule="atLeast"/>
        </w:trPr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1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информационным ресурсам и защите информации администрации Белоярского района </w:t>
              <w:br/>
              <w:t>(далее -  Отдел по ИРиЗИ)</w:t>
            </w:r>
          </w:p>
        </w:tc>
      </w:tr>
      <w:tr>
        <w:trPr>
          <w:trHeight w:val="300" w:hRule="atLeast"/>
        </w:trPr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11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 годы</w:t>
            </w:r>
          </w:p>
        </w:tc>
      </w:tr>
      <w:tr>
        <w:trPr>
          <w:trHeight w:val="750" w:hRule="atLeast"/>
        </w:trPr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информационных и телекоммуникационных технологий для повышения качества жизни граждан, обеспечение условий для реализации эффективной системы муниципального управления </w:t>
            </w:r>
          </w:p>
        </w:tc>
      </w:tr>
      <w:tr>
        <w:trPr>
          <w:trHeight w:val="375" w:hRule="atLeast"/>
        </w:trPr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11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11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4 133,0 тысяч рублей</w:t>
            </w:r>
          </w:p>
        </w:tc>
      </w:tr>
      <w:tr>
        <w:trPr>
          <w:trHeight w:val="1005" w:hRule="atLeast"/>
        </w:trPr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- Югры</w:t>
            </w:r>
          </w:p>
        </w:tc>
        <w:tc>
          <w:tcPr>
            <w:tcW w:w="11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трансформация государственного и муниципального управления, экономики и социальной сферы / государственная программа Ханты-Мансийского автономного округа - Югры "Цифровое развитие Ханты-Мансийского автономного округа - Югры"</w:t>
            </w:r>
          </w:p>
        </w:tc>
      </w:tr>
    </w:tbl>
    <w:p>
      <w:pPr>
        <w:sectPr>
          <w:footerReference w:type="even" r:id="rId6"/>
          <w:footerReference w:type="default" r:id="rId7"/>
          <w:footerReference w:type="first" r:id="rId8"/>
          <w:type w:val="nextPage"/>
          <w:pgSz w:orient="landscape" w:w="16838" w:h="11906"/>
          <w:pgMar w:left="770" w:right="782" w:gutter="0" w:header="0" w:top="1418" w:footer="713" w:bottom="851"/>
          <w:pgNumType w:start="1" w:fmt="decimal"/>
          <w:formProt w:val="false"/>
          <w:titlePg/>
          <w:textDirection w:val="lrTb"/>
          <w:docGrid w:type="default" w:linePitch="272" w:charSpace="16384"/>
        </w:sectPr>
      </w:pP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2. </w:t>
      </w:r>
      <w:r>
        <w:rPr>
          <w:sz w:val="24"/>
          <w:szCs w:val="24"/>
        </w:rPr>
        <w:t>Показатели муниципальной программы</w:t>
      </w:r>
    </w:p>
    <w:p>
      <w:pPr>
        <w:pStyle w:val="Normal"/>
        <w:suppressAutoHyphens w:val="false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tbl>
      <w:tblPr>
        <w:tblW w:w="15448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645"/>
        <w:gridCol w:w="2470"/>
        <w:gridCol w:w="828"/>
        <w:gridCol w:w="876"/>
        <w:gridCol w:w="567"/>
        <w:gridCol w:w="837"/>
        <w:gridCol w:w="742"/>
        <w:gridCol w:w="674"/>
        <w:gridCol w:w="684"/>
        <w:gridCol w:w="675"/>
        <w:gridCol w:w="687"/>
        <w:gridCol w:w="2647"/>
        <w:gridCol w:w="1416"/>
        <w:gridCol w:w="1699"/>
      </w:tblGrid>
      <w:tr>
        <w:trPr>
          <w:tblHeader w:val="true"/>
          <w:trHeight w:val="885" w:hRule="atLeast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N п/п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Наименование показателя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Единица измере-ния (по ОКЕИ)</w:t>
            </w:r>
          </w:p>
        </w:tc>
        <w:tc>
          <w:tcPr>
            <w:tcW w:w="1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Базовое значение</w:t>
            </w:r>
          </w:p>
        </w:tc>
        <w:tc>
          <w:tcPr>
            <w:tcW w:w="42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Значение показателя по годам</w:t>
            </w: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Документ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Ответственный за достижение показателя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Связь с показателями национальных целей</w:t>
            </w:r>
          </w:p>
        </w:tc>
      </w:tr>
      <w:tr>
        <w:trPr>
          <w:tblHeader w:val="true"/>
          <w:trHeight w:val="300" w:hRule="atLeast"/>
        </w:trPr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значение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год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2025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2026</w:t>
            </w: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2027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2028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2029</w:t>
            </w: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2030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blHeader w:val="true"/>
          <w:trHeight w:val="300" w:hRule="atLeast"/>
        </w:trPr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4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</w:t>
            </w:r>
          </w:p>
        </w:tc>
      </w:tr>
      <w:tr>
        <w:trPr>
          <w:trHeight w:val="390" w:hRule="atLeast"/>
        </w:trPr>
        <w:tc>
          <w:tcPr>
            <w:tcW w:w="15447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/>
              <w:t>Цель " Применение информационных и телекоммуникационных технологий для повышения качества жизни граждан, обеспечение условий для реализации эффективной системы муниципального управления "</w:t>
            </w:r>
          </w:p>
        </w:tc>
      </w:tr>
      <w:tr>
        <w:trPr>
          <w:trHeight w:val="2656" w:hRule="atLeast"/>
        </w:trPr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4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Количество просмотров официального сайта органа местного самоуправления Белоярского района в информационно-телекоммуникационной сети "Интернет"</w:t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единиц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400000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2024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410000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420000</w:t>
            </w: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420050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420100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420150</w:t>
            </w: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420200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Федеральный закон от 09.02.2009 N 8-ФЗ "Об обеспечении доступа к информации о деятельности государственных органов и органов местного самоуправления". Постановление администрации Белоярского района от 03.02.2010  № 124 «Об официальном сайте органов местного самоуправления Белоярского района»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Отдел по ИРиЗИ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обеспечение к 2030, году повышения уровня удовлетворенность</w:t>
            </w:r>
          </w:p>
        </w:tc>
      </w:tr>
      <w:tr>
        <w:trPr>
          <w:trHeight w:val="1701" w:hRule="atLeast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Доля органов местного самоуправления Белоярского района  и муниципальных учреждений, подключенных к защищенной сети передачи данных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процент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2024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Федеральный закон от 27.07.2010</w:t>
            </w:r>
            <w:r>
              <w:rPr>
                <w:lang w:val="ru-RU"/>
              </w:rPr>
              <w:t xml:space="preserve"> </w:t>
            </w:r>
            <w:r>
              <w:rPr>
                <w:lang w:val="en-US"/>
              </w:rPr>
              <w:t>№</w:t>
            </w:r>
            <w:r>
              <w:rPr>
                <w:lang w:val="ru-RU"/>
              </w:rPr>
              <w:t xml:space="preserve"> </w:t>
            </w:r>
            <w:r>
              <w:rPr/>
              <w:t>210-ФЗ "Об организации предоставления государственных и муниципальных услуг"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Отдел по ИРиЗИ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обеспечение сетевого суверенитета и информационной безопасности в информационно-коммуникационной сети "Интернет"</w:t>
            </w:r>
          </w:p>
        </w:tc>
      </w:tr>
      <w:tr>
        <w:trPr>
          <w:trHeight w:val="4789" w:hRule="atLeast"/>
        </w:trPr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4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Доля информационных систем персональных данных, защищенных в соответствии с требованиями действующего законодательства</w:t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процент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2024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Федеральный закон от 27 июля 2006 года № 152-ФЗ «О персональных данных», Постановление Правительства Российской Федерации от 1 ноября 2012 года № 1119 «Об утверждении требований к защите персональных данных при их обработке в информационных системах персональных данных», Постановление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Отдел по ИРиЗИ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создание системы эффективного противодействия преступлениям, совершаемым с использованием информационно-телекоммуникационных технологий</w:t>
            </w:r>
          </w:p>
        </w:tc>
      </w:tr>
      <w:tr>
        <w:trPr>
          <w:trHeight w:val="3118" w:hRule="atLeast"/>
        </w:trPr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24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Доля органов администрации Белоярского района и муниципальных учреждений, использующих электронный документооборот</w:t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процент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2024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 xml:space="preserve">Указ Президента РФ от 07.05.2024 </w:t>
            </w:r>
            <w:r>
              <w:rPr/>
              <w:t>№</w:t>
            </w:r>
            <w:r>
              <w:rPr/>
              <w:t xml:space="preserve"> 309 "О национальных целях развития Российской Федерации на период до 2030 года и на перспективу до 2036 года". Постановление Правительства ХМАО - Югры от 27.04.2018 </w:t>
            </w:r>
            <w:r>
              <w:rPr/>
              <w:t>№</w:t>
            </w:r>
            <w:r>
              <w:rPr/>
              <w:t xml:space="preserve"> 136-п "О системе электронного документооборота Ханты-Мансийского автономного округа — Югры"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Отдел по ИРиЗИ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достижение к 2030 году "цифровой зрелости" муниципального управления</w:t>
            </w:r>
          </w:p>
        </w:tc>
      </w:tr>
      <w:tr>
        <w:trPr>
          <w:trHeight w:val="1993" w:hRule="atLeast"/>
        </w:trPr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24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 ОМСУ</w:t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процент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2024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80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80</w:t>
            </w: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90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</w:t>
            </w: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 xml:space="preserve">Указ Президента РФ от 05.12.2016 </w:t>
            </w:r>
            <w:r>
              <w:rPr/>
              <w:t>№</w:t>
            </w:r>
            <w:r>
              <w:rPr/>
              <w:t xml:space="preserve"> 646 "Об утверждении Доктрины информационной безопасности Российской Федерации"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Отдел по ИРиЗИ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увеличение к 2030 году до 95 процентов доли использования российского программного обеспечения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false"/>
        <w:jc w:val="center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br w:type="page"/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3. Структура муни</w:t>
      </w:r>
      <w:bookmarkStart w:id="0" w:name="_GoBack"/>
      <w:bookmarkEnd w:id="0"/>
      <w:r>
        <w:rPr>
          <w:sz w:val="24"/>
          <w:szCs w:val="24"/>
        </w:rPr>
        <w:t>ципальной программы</w:t>
      </w:r>
    </w:p>
    <w:p>
      <w:pPr>
        <w:pStyle w:val="Normal"/>
        <w:numPr>
          <w:ilvl w:val="0"/>
          <w:numId w:val="0"/>
        </w:numPr>
        <w:suppressAutoHyphens w:val="false"/>
        <w:jc w:val="center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tbl>
      <w:tblPr>
        <w:tblW w:w="15384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644"/>
        <w:gridCol w:w="4581"/>
        <w:gridCol w:w="6396"/>
        <w:gridCol w:w="3762"/>
      </w:tblGrid>
      <w:tr>
        <w:trPr>
          <w:tblHeader w:val="true"/>
          <w:trHeight w:val="720" w:hRule="atLeast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Задачи структурного элемента</w:t>
            </w:r>
          </w:p>
        </w:tc>
        <w:tc>
          <w:tcPr>
            <w:tcW w:w="6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Краткое описание ожидаемых эффектов от реализации задачи структурного элемента  </w:t>
            </w:r>
          </w:p>
        </w:tc>
        <w:tc>
          <w:tcPr>
            <w:tcW w:w="3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Связь с показателями</w:t>
            </w:r>
          </w:p>
        </w:tc>
      </w:tr>
      <w:tr>
        <w:trPr>
          <w:tblHeader w:val="true"/>
          <w:trHeight w:val="300" w:hRule="atLeast"/>
        </w:trPr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5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639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3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1.</w:t>
            </w:r>
          </w:p>
        </w:tc>
        <w:tc>
          <w:tcPr>
            <w:tcW w:w="147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Комплекс процессных мероприятий "Обеспечение информационной открытости органов местного самоуправления Белоярского района"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5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Ответственный за реализацию:  Отдел по ИРиЗИ</w:t>
            </w:r>
          </w:p>
        </w:tc>
        <w:tc>
          <w:tcPr>
            <w:tcW w:w="639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Срок реализации: 2025-2030</w:t>
            </w:r>
          </w:p>
        </w:tc>
        <w:tc>
          <w:tcPr>
            <w:tcW w:w="3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305" w:hRule="atLeast"/>
        </w:trPr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1.1.</w:t>
            </w:r>
          </w:p>
        </w:tc>
        <w:tc>
          <w:tcPr>
            <w:tcW w:w="45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 xml:space="preserve">Развитие информационного общества и формирование электронного муниципалитета </w:t>
            </w:r>
          </w:p>
        </w:tc>
        <w:tc>
          <w:tcPr>
            <w:tcW w:w="63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Развитие информационных систем, инфраструктуры информационного общества и цифровой экономики на территории Белоярского района.</w:t>
              <w:br/>
              <w:t xml:space="preserve">Развитие и сопровождение официального сайта органов местного самоуправления Белоярского района и подведомственных учреждений. </w:t>
            </w:r>
          </w:p>
        </w:tc>
        <w:tc>
          <w:tcPr>
            <w:tcW w:w="3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Количество просмотров официального сайта органа местного самоуправления Белоярского района в информационно-телекоммуникационной сети "Интернет" 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2.</w:t>
            </w:r>
          </w:p>
        </w:tc>
        <w:tc>
          <w:tcPr>
            <w:tcW w:w="147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Комплекс процессных мероприятий "Обеспечение функционирования инфраструктуры межведомственного электронного взаимодействия"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5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Ответственный за реализацию:  Отдел по ИРиЗИ</w:t>
            </w:r>
          </w:p>
        </w:tc>
        <w:tc>
          <w:tcPr>
            <w:tcW w:w="639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Срок реализации: 2025-2030</w:t>
            </w:r>
          </w:p>
        </w:tc>
        <w:tc>
          <w:tcPr>
            <w:tcW w:w="3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65" w:hRule="atLeast"/>
        </w:trPr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2.1.</w:t>
            </w:r>
          </w:p>
        </w:tc>
        <w:tc>
          <w:tcPr>
            <w:tcW w:w="45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Обеспечение предоставления государственных и муниципальных услуг гражданам в электронной форме</w:t>
            </w:r>
          </w:p>
        </w:tc>
        <w:tc>
          <w:tcPr>
            <w:tcW w:w="63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Развитие (подключение новых объектов), модернизация и обеспечение эксплуатации защищенной сети передачи данных органов местного самоуправления Белоярского района.</w:t>
            </w:r>
          </w:p>
        </w:tc>
        <w:tc>
          <w:tcPr>
            <w:tcW w:w="3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 xml:space="preserve">Доля органов местного самоуправления Белоярского района  и муниципальных учреждений, подключенных к защищенной сети передачи данных 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3.</w:t>
            </w:r>
          </w:p>
        </w:tc>
        <w:tc>
          <w:tcPr>
            <w:tcW w:w="147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Комплекс процессных мероприятий "Обеспечение информационной безопасности органов местного самоуправления"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5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Ответственный за реализацию:  Отдел по ИРиЗИ</w:t>
            </w:r>
          </w:p>
        </w:tc>
        <w:tc>
          <w:tcPr>
            <w:tcW w:w="639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Срок реализации: 2025-2030</w:t>
            </w:r>
          </w:p>
        </w:tc>
        <w:tc>
          <w:tcPr>
            <w:tcW w:w="3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35" w:hRule="atLeast"/>
        </w:trPr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3.1.</w:t>
            </w:r>
          </w:p>
        </w:tc>
        <w:tc>
          <w:tcPr>
            <w:tcW w:w="45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Обеспечение защиты информационных систем</w:t>
            </w:r>
          </w:p>
        </w:tc>
        <w:tc>
          <w:tcPr>
            <w:tcW w:w="63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 xml:space="preserve">Сопровождение систем защиты информации (техническая поддержка, обновление лицензий). </w:t>
              <w:br/>
              <w:t xml:space="preserve">Приобретение, внедрение программного обеспечения, программно-аппаратных комплексов информационной безопасности, обеспечивающих процессы информатизации. </w:t>
              <w:br/>
              <w:t>Аттестация объектов информатизации на соответствие требованиям по информационной безопасности.</w:t>
            </w:r>
          </w:p>
        </w:tc>
        <w:tc>
          <w:tcPr>
            <w:tcW w:w="3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Доля информационных систем обработки персональных данных, защищенных в соответствии с требованиями действующего законодательства 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4.</w:t>
            </w:r>
          </w:p>
        </w:tc>
        <w:tc>
          <w:tcPr>
            <w:tcW w:w="147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Комплекс процессных мероприятий "Развитие электронного документооборота"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5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Ответственный за реализацию:  Отдел по ИРиЗИ</w:t>
            </w:r>
          </w:p>
        </w:tc>
        <w:tc>
          <w:tcPr>
            <w:tcW w:w="639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Срок реализации: 2025-2030</w:t>
            </w:r>
          </w:p>
        </w:tc>
        <w:tc>
          <w:tcPr>
            <w:tcW w:w="3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70" w:hRule="atLeast"/>
        </w:trPr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4.1.</w:t>
            </w:r>
          </w:p>
        </w:tc>
        <w:tc>
          <w:tcPr>
            <w:tcW w:w="45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Использование систем электронного документооборота и делопроизводства</w:t>
            </w:r>
          </w:p>
        </w:tc>
        <w:tc>
          <w:tcPr>
            <w:tcW w:w="63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Автоматизация процессов делопроизводства и электронного документооборота за счет создания единой инфраструктуры, отвечающей современным требованиям, создающей условия для оптимального и эффективного взаимодействия  органов местного самоуправления Белоярского района с органами государственной власти,  органами местного самоуправления, муниципальными и государственными учреждениями автономного округа.</w:t>
            </w:r>
          </w:p>
        </w:tc>
        <w:tc>
          <w:tcPr>
            <w:tcW w:w="3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  <w:t>Доля органов администрации Белоярского района и муниципальных учреждений, использующих электронный документооборот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5.</w:t>
            </w:r>
          </w:p>
        </w:tc>
        <w:tc>
          <w:tcPr>
            <w:tcW w:w="147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Комплекс процессных мероприятий "Использование преимущественно отечественного программного обеспечения"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5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Ответственный за реализацию:  Отдел по ИРиЗИ</w:t>
            </w:r>
          </w:p>
        </w:tc>
        <w:tc>
          <w:tcPr>
            <w:tcW w:w="639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Срок реализации: 2025-2030</w:t>
            </w:r>
          </w:p>
        </w:tc>
        <w:tc>
          <w:tcPr>
            <w:tcW w:w="3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35" w:hRule="atLeast"/>
        </w:trPr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5.1.</w:t>
            </w:r>
          </w:p>
        </w:tc>
        <w:tc>
          <w:tcPr>
            <w:tcW w:w="45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Переход на использование преимущественно отечественного программного обеспечения</w:t>
            </w:r>
          </w:p>
        </w:tc>
        <w:tc>
          <w:tcPr>
            <w:tcW w:w="63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 xml:space="preserve">Приобретение, внедрение  и развитие (модернизация) программного обеспечения, аппаратно-программных комплексов, сетевого оборудования отечественного производителя </w:t>
            </w:r>
          </w:p>
        </w:tc>
        <w:tc>
          <w:tcPr>
            <w:tcW w:w="3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 xml:space="preserve">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 ОМСУ 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4. Финансовое обеспечение муниципальной программы</w:t>
      </w:r>
    </w:p>
    <w:p>
      <w:pPr>
        <w:pStyle w:val="Normal"/>
        <w:numPr>
          <w:ilvl w:val="0"/>
          <w:numId w:val="0"/>
        </w:numPr>
        <w:suppressAutoHyphens w:val="false"/>
        <w:jc w:val="center"/>
        <w:outlineLvl w:val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tbl>
      <w:tblPr>
        <w:tblW w:w="15308" w:type="dxa"/>
        <w:jc w:val="left"/>
        <w:tblInd w:w="-2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655"/>
        <w:gridCol w:w="7282"/>
        <w:gridCol w:w="992"/>
        <w:gridCol w:w="1015"/>
        <w:gridCol w:w="1014"/>
        <w:gridCol w:w="1015"/>
        <w:gridCol w:w="1015"/>
        <w:gridCol w:w="1015"/>
        <w:gridCol w:w="1303"/>
      </w:tblGrid>
      <w:tr>
        <w:trPr>
          <w:tblHeader w:val="true"/>
          <w:trHeight w:val="460" w:hRule="atLeast"/>
        </w:trPr>
        <w:tc>
          <w:tcPr>
            <w:tcW w:w="6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7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Наименование муниципальной программы, структурного элемента, мероприятия (результата), источник финансового обеспечения</w:t>
            </w:r>
          </w:p>
        </w:tc>
        <w:tc>
          <w:tcPr>
            <w:tcW w:w="7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Объем финансового обеспечения по годам, тыс. рублей</w:t>
            </w:r>
          </w:p>
        </w:tc>
      </w:tr>
      <w:tr>
        <w:trPr>
          <w:tblHeader w:val="true"/>
          <w:trHeight w:val="300" w:hRule="atLeast"/>
        </w:trPr>
        <w:tc>
          <w:tcPr>
            <w:tcW w:w="65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2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2025 год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2026 год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2027 год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2028 год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2029 год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2030 год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</w:tr>
      <w:tr>
        <w:trPr>
          <w:tblHeader w:val="true"/>
          <w:trHeight w:val="263" w:hRule="atLeast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</w:t>
            </w:r>
          </w:p>
        </w:tc>
      </w:tr>
      <w:tr>
        <w:trPr>
          <w:trHeight w:val="394" w:hRule="atLeast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Муниципальная программа "Цифровое развитие" (всего), в том числе: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1 022,0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622,2</w:t>
            </w: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622,2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622,2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622,2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622,2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4 133,0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бюджет Белоярского района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1 022,0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622,2</w:t>
            </w: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622,2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622,2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622,2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622,2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4 133,0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Объем налоговых расходов Белоярского района (справочно)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678" w:hRule="atLeast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1.1.</w:t>
            </w:r>
          </w:p>
        </w:tc>
        <w:tc>
          <w:tcPr>
            <w:tcW w:w="7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Комплекс процессных мероприятий "Обеспечение информационной открытости органов местного самоуправления Белоярского района" (всего), в том числе: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18,5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18,5</w:t>
            </w: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18,5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18,5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18,5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18,5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111,0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бюджет Белоярского района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18,5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18,5</w:t>
            </w: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18,5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18,5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18,5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18,5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111,0</w:t>
            </w:r>
          </w:p>
        </w:tc>
      </w:tr>
      <w:tr>
        <w:trPr>
          <w:trHeight w:val="746" w:hRule="atLeast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1.2.</w:t>
            </w:r>
          </w:p>
        </w:tc>
        <w:tc>
          <w:tcPr>
            <w:tcW w:w="7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Комплекс процессных мероприятий "Обеспечение функционирования инфраструктуры межведомственного электронного взаимодействия" (всего), в том числе: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16,2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16,2</w:t>
            </w: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16,2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16,2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16,2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16,2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97,2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бюджет Белоярского района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16,2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16,2</w:t>
            </w: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16,2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16,2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16,2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16,2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97,2</w:t>
            </w:r>
          </w:p>
        </w:tc>
      </w:tr>
      <w:tr>
        <w:trPr>
          <w:trHeight w:val="607" w:hRule="atLeast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1.3.</w:t>
            </w:r>
          </w:p>
        </w:tc>
        <w:tc>
          <w:tcPr>
            <w:tcW w:w="7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Комплекс процессных мероприятий "Обеспечение информационной безопасности органов местного самоуправления" (всего), в том числе: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987,3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587,5</w:t>
            </w: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587,5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587,5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587,5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587,5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3 924,8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бюджет Белоярского района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987,3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587,5</w:t>
            </w: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587,5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587,5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587,5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587,5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3 924,8</w:t>
            </w:r>
          </w:p>
        </w:tc>
      </w:tr>
      <w:tr>
        <w:trPr>
          <w:trHeight w:val="507" w:hRule="atLeast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1.4.</w:t>
            </w:r>
          </w:p>
        </w:tc>
        <w:tc>
          <w:tcPr>
            <w:tcW w:w="7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Комплекс процессных мероприятий "Развитие электронного документооборота" (всего), в том числе: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бюджет Белоярского района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507" w:hRule="atLeast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1.5.</w:t>
            </w:r>
          </w:p>
        </w:tc>
        <w:tc>
          <w:tcPr>
            <w:tcW w:w="7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Комплекс процессных мероприятий "Использование преимущественно отечественного программного обеспечения" (всего), в том числе: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бюджет Белоярского района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false"/>
        <w:jc w:val="center"/>
        <w:outlineLvl w:val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sectPr>
      <w:footerReference w:type="even" r:id="rId9"/>
      <w:footerReference w:type="default" r:id="rId10"/>
      <w:footerReference w:type="first" r:id="rId11"/>
      <w:type w:val="nextPage"/>
      <w:pgSz w:orient="landscape" w:w="16838" w:h="11906"/>
      <w:pgMar w:left="765" w:right="567" w:gutter="0" w:header="0" w:top="1418" w:footer="709" w:bottom="851"/>
      <w:pgNumType w:start="1" w:fmt="decimal"/>
      <w:formProt w:val="false"/>
      <w:titlePg/>
      <w:textDirection w:val="lrTb"/>
      <w:docGrid w:type="default" w:linePitch="272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%2.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Symbol"/>
      <w:sz w:val="24"/>
      <w:szCs w:val="24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2" w:customStyle="1">
    <w:name w:val="Основной шрифт абзаца2"/>
    <w:qFormat/>
    <w:rPr/>
  </w:style>
  <w:style w:type="character" w:styleId="WW8Num3z0" w:customStyle="1">
    <w:name w:val="WW8Num3z0"/>
    <w:qFormat/>
    <w:rPr>
      <w:rFonts w:cs="Times New Roman"/>
    </w:rPr>
  </w:style>
  <w:style w:type="character" w:styleId="WW8Num3z1" w:customStyle="1">
    <w:name w:val="WW8Num3z1"/>
    <w:qFormat/>
    <w:rPr>
      <w:rFonts w:cs="Times New Roman"/>
    </w:rPr>
  </w:style>
  <w:style w:type="character" w:styleId="WW8Num4z0" w:customStyle="1">
    <w:name w:val="WW8Num4z0"/>
    <w:qFormat/>
    <w:rPr>
      <w:rFonts w:cs="Times New Roman"/>
    </w:rPr>
  </w:style>
  <w:style w:type="character" w:styleId="WW8Num4z1" w:customStyle="1">
    <w:name w:val="WW8Num4z1"/>
    <w:qFormat/>
    <w:rPr>
      <w:rFonts w:cs="Times New Roman"/>
    </w:rPr>
  </w:style>
  <w:style w:type="character" w:styleId="WW8Num5z0" w:customStyle="1">
    <w:name w:val="WW8Num5z0"/>
    <w:qFormat/>
    <w:rPr>
      <w:rFonts w:cs="Times New Roman"/>
    </w:rPr>
  </w:style>
  <w:style w:type="character" w:styleId="WW8Num5z1" w:customStyle="1">
    <w:name w:val="WW8Num5z1"/>
    <w:qFormat/>
    <w:rPr>
      <w:rFonts w:cs="Times New Roman"/>
    </w:rPr>
  </w:style>
  <w:style w:type="character" w:styleId="WW8Num6z0" w:customStyle="1">
    <w:name w:val="WW8Num6z0"/>
    <w:qFormat/>
    <w:rPr>
      <w:rFonts w:cs="Times New Roman"/>
    </w:rPr>
  </w:style>
  <w:style w:type="character" w:styleId="WW8Num6z1" w:customStyle="1">
    <w:name w:val="WW8Num6z1"/>
    <w:qFormat/>
    <w:rPr>
      <w:rFonts w:cs="Times New Roman"/>
    </w:rPr>
  </w:style>
  <w:style w:type="character" w:styleId="1" w:customStyle="1">
    <w:name w:val="Основной шрифт абзаца1"/>
    <w:qFormat/>
    <w:rPr/>
  </w:style>
  <w:style w:type="character" w:styleId="PageNumber">
    <w:name w:val="page number"/>
    <w:rPr>
      <w:rFonts w:cs="Times New Roman"/>
    </w:rPr>
  </w:style>
  <w:style w:type="character" w:styleId="InternetLink" w:customStyle="1">
    <w:name w:val="Internet Link"/>
    <w:qFormat/>
    <w:rPr>
      <w:rFonts w:cs="Times New Roman"/>
      <w:color w:val="0000FF"/>
      <w:u w:val="single"/>
    </w:rPr>
  </w:style>
  <w:style w:type="character" w:styleId="Style11" w:customStyle="1">
    <w:name w:val="Нижний колонтитул Знак"/>
    <w:qFormat/>
    <w:rPr>
      <w:sz w:val="24"/>
    </w:rPr>
  </w:style>
  <w:style w:type="character" w:styleId="Style12" w:customStyle="1">
    <w:name w:val="Основной текст Знак"/>
    <w:qFormat/>
    <w:rPr>
      <w:lang w:val="ru-RU" w:bidi="ar-SA"/>
    </w:rPr>
  </w:style>
  <w:style w:type="character" w:styleId="Style13" w:customStyle="1">
    <w:name w:val="Дата Знак"/>
    <w:qFormat/>
    <w:rPr>
      <w:rFonts w:ascii="Calibri" w:hAnsi="Calibri" w:eastAsia="Calibri" w:cs="Calibri"/>
      <w:sz w:val="22"/>
      <w:szCs w:val="22"/>
      <w:lang w:val="x-none" w:bidi="ar-SA"/>
    </w:rPr>
  </w:style>
  <w:style w:type="character" w:styleId="ConsPlusNormal" w:customStyle="1">
    <w:name w:val="ConsPlusNormal Знак"/>
    <w:qFormat/>
    <w:rPr>
      <w:rFonts w:ascii="Arial" w:hAnsi="Arial" w:cs="Arial"/>
      <w:lang w:val="ru-RU" w:bidi="ar-SA"/>
    </w:rPr>
  </w:style>
  <w:style w:type="character" w:styleId="Style14" w:customStyle="1">
    <w:name w:val="Символ нумерации"/>
    <w:qFormat/>
    <w:rPr>
      <w:b w:val="false"/>
      <w:bCs w:val="false"/>
    </w:rPr>
  </w:style>
  <w:style w:type="character" w:styleId="InternetLink1" w:customStyle="1">
    <w:name w:val="Internet Link1"/>
    <w:qFormat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21" w:customStyle="1">
    <w:name w:val="Указатель2"/>
    <w:basedOn w:val="Normal"/>
    <w:qFormat/>
    <w:pPr>
      <w:suppressLineNumbers/>
    </w:pPr>
    <w:rPr>
      <w:rFonts w:cs="Mangal"/>
    </w:rPr>
  </w:style>
  <w:style w:type="paragraph" w:styleId="11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Mangal"/>
    </w:rPr>
  </w:style>
  <w:style w:type="paragraph" w:styleId="Style17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  <w:jc w:val="both"/>
    </w:pPr>
    <w:rPr>
      <w:sz w:val="24"/>
    </w:rPr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  <w:jc w:val="both"/>
    </w:pPr>
    <w:rPr>
      <w:sz w:val="24"/>
      <w:lang w:val="x-none"/>
    </w:rPr>
  </w:style>
  <w:style w:type="paragraph" w:styleId="31" w:customStyle="1">
    <w:name w:val="Основной текст с отступом 31"/>
    <w:basedOn w:val="Normal"/>
    <w:qFormat/>
    <w:pPr>
      <w:jc w:val="center"/>
    </w:pPr>
    <w:rPr>
      <w:sz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sPlusCell" w:customStyle="1">
    <w:name w:val="ConsPlusCell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pPr>
      <w:widowControl w:val="false"/>
      <w:suppressAutoHyphens w:val="true"/>
      <w:bidi w:val="0"/>
      <w:spacing w:before="0" w:after="0"/>
      <w:ind w:firstLine="720" w:right="19772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zh-CN" w:val="ru-RU" w:bidi="ar-SA"/>
    </w:rPr>
  </w:style>
  <w:style w:type="paragraph" w:styleId="ConsPlusNormal1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zh-CN" w:val="ru-RU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eastAsia="zh-CN" w:val="ru-RU" w:bidi="ar-SA"/>
    </w:rPr>
  </w:style>
  <w:style w:type="paragraph" w:styleId="NormalWeb">
    <w:name w:val="Normal (Web)"/>
    <w:basedOn w:val="Normal"/>
    <w:qFormat/>
    <w:pPr>
      <w:spacing w:before="280" w:after="119"/>
    </w:pPr>
    <w:rPr>
      <w:sz w:val="24"/>
      <w:szCs w:val="24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cs="Calibri" w:eastAsia="Times New Roman"/>
      <w:b/>
      <w:bCs/>
      <w:color w:val="auto"/>
      <w:kern w:val="0"/>
      <w:sz w:val="22"/>
      <w:szCs w:val="22"/>
      <w:lang w:eastAsia="zh-CN" w:val="ru-RU" w:bidi="ar-SA"/>
    </w:rPr>
  </w:style>
  <w:style w:type="paragraph" w:styleId="13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2"/>
      <w:lang w:eastAsia="zh-CN" w:val="ru-RU" w:bidi="ar-SA"/>
    </w:rPr>
  </w:style>
  <w:style w:type="paragraph" w:styleId="14" w:customStyle="1">
    <w:name w:val="Рецензия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15" w:customStyle="1">
    <w:name w:val="Дата1"/>
    <w:basedOn w:val="Normal"/>
    <w:next w:val="Normal"/>
    <w:qFormat/>
    <w:pPr>
      <w:spacing w:lineRule="auto" w:line="276" w:before="0" w:after="200"/>
    </w:pPr>
    <w:rPr>
      <w:rFonts w:ascii="Calibri" w:hAnsi="Calibri" w:eastAsia="Calibri" w:cs="Calibri"/>
      <w:sz w:val="22"/>
      <w:szCs w:val="22"/>
      <w:lang w:val="x-none"/>
    </w:rPr>
  </w:style>
  <w:style w:type="paragraph" w:styleId="111" w:customStyle="1">
    <w:name w:val="Знак1 Знак Знак Знак1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Style18" w:customStyle="1">
    <w:name w:val="Содержимое таблицы"/>
    <w:basedOn w:val="Normal"/>
    <w:qFormat/>
    <w:pPr>
      <w:suppressLineNumbers/>
    </w:pPr>
    <w:rPr>
      <w:rFonts w:ascii="Liberation Serif" w:hAnsi="Liberation Serif" w:eastAsia="NSimSun" w:cs="Mangal"/>
      <w:kern w:val="2"/>
      <w:sz w:val="24"/>
      <w:szCs w:val="24"/>
      <w:lang w:bidi="hi-IN"/>
    </w:rPr>
  </w:style>
  <w:style w:type="paragraph" w:styleId="Style19" w:customStyle="1">
    <w:name w:val="Заголовок таблицы"/>
    <w:basedOn w:val="Style18"/>
    <w:qFormat/>
    <w:pPr>
      <w:jc w:val="center"/>
    </w:pPr>
    <w:rPr>
      <w:b/>
      <w:bCs/>
    </w:rPr>
  </w:style>
  <w:style w:type="numbering" w:styleId="Style20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oter" Target="footer6.xml"/><Relationship Id="rId9" Type="http://schemas.openxmlformats.org/officeDocument/2006/relationships/footer" Target="footer7.xml"/><Relationship Id="rId10" Type="http://schemas.openxmlformats.org/officeDocument/2006/relationships/footer" Target="footer8.xml"/><Relationship Id="rId11" Type="http://schemas.openxmlformats.org/officeDocument/2006/relationships/footer" Target="footer9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LibreOffice/24.8.2.1$Windows_X86_64 LibreOffice_project/0f794b6e29741098670a3b95d60478a65d05ef13</Application>
  <AppVersion>15.0000</AppVersion>
  <Pages>8</Pages>
  <Words>1627</Words>
  <Characters>9280</Characters>
  <CharactersWithSpaces>10886</CharactersWithSpaces>
  <Paragraphs>21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2024-11-21T09:32:00Z</dcterms:created>
  <dc:creator>Гончаров Андрей Николаевич</dc:creator>
  <dc:description/>
  <dc:language>ru-RU</dc:language>
  <cp:lastModifiedBy/>
  <cp:lastPrinted>2024-11-21T09:49:00Z</cp:lastPrinted>
  <dcterms:modified xsi:type="dcterms:W3CDTF">2024-11-21T15:03:01Z</dcterms:modified>
  <cp:revision>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