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  <w:t>Порядок осуществления иностранными гражданами трудовой деятельности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на территории Ханты-Мансийского автономного округа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–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Югры </w:t>
      </w:r>
    </w:p>
    <w:p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Категории иностранных граждан, осуществляющих трудовую деятельность в Российской Федерации </w:t>
      </w:r>
    </w:p>
    <w:p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25 июля 2002 года № 115-ФЗ иностранные граждане, прибывающие в Ханты-Мансийский автономный округ – Югру, в порядке, требующем получения визы, привлекаются к трудовой деятельности в рамках квоты, утверждаемой ежегодно Правительством Российской Федерации и при условии получения работодателем разрешения на привлечение и использование иностранных работников, а так же оформленного разрешения на работу </w:t>
      </w:r>
      <w:r>
        <w:rPr>
          <w:rFonts w:ascii="Times New Roman" w:hAnsi="Times New Roman" w:cs="Times New Roman"/>
          <w:sz w:val="28"/>
          <w:szCs w:val="28"/>
        </w:rPr>
        <w:t>для каждого иностранного работника в отдельности (граждане стран с визовым порядком въезда: Грузия, Туркмения, Страны Балтии, дальнее зарубежье, лица без гражданства).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Иностранные граждане, прибывающие в Ханты-Мансийский автономный округ – Югру, в порядке, не требующем получения визы, для осуществления трудовой деятельности должны получить патент (</w:t>
      </w:r>
      <w:r>
        <w:rPr>
          <w:rFonts w:ascii="Times New Roman" w:hAnsi="Times New Roman" w:cs="Times New Roman"/>
          <w:sz w:val="28"/>
          <w:szCs w:val="28"/>
        </w:rPr>
        <w:t>Азербайджан, Молдова, Таджикистан, Украина,  Узбекистан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Без оформления разрешения на работу и патента осуществляют трудовую деятельность в Ханты-Мансийском автономном округе – Югре  иностранные граждане: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граждане стран участниц </w:t>
      </w:r>
      <w:r>
        <w:rPr>
          <w:rFonts w:ascii="Times New Roman" w:hAnsi="Times New Roman" w:cs="Times New Roman"/>
          <w:sz w:val="28"/>
          <w:szCs w:val="28"/>
        </w:rPr>
        <w:t>Договора о Евразийском экономическом союзе (Беларусь, Казахстан, Армения, Киргизия);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проживающие в Ханты-Мансийском автономном округе – Югре на законном основании и получившие разрешение на временное проживание в Ханты-Мансийском автономном округе – Югре,  либо вид на жительство в Российской Федерации, либо признанные беженцами на территории Российской Федерации или получившие временное убежище на территории Российской Федерации;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1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Оформление квоты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Квота </w:t>
      </w:r>
      <w:r>
        <w:rPr>
          <w:rFonts w:ascii="Times New Roman" w:hAnsi="Times New Roman" w:cs="Times New Roman"/>
          <w:sz w:val="28"/>
          <w:szCs w:val="28"/>
        </w:rPr>
        <w:t>на выдачу разрешений на работу иностранным гражданам, прибывающим в Российскую Федерацию в целях осуществления трудовой деятельности на основании визы,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ежегодно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утверждается Правительством Российской Федерации по предложениям исполнительных органов государственной власти субъектов Российской Федерации.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населения Российской Федерации квота уточняется по рабочим местам (должностям, профессиям) на которые работодатель может привлекать к трудовой деятельности иностранных работников, </w:t>
      </w:r>
      <w:r>
        <w:rPr>
          <w:rFonts w:ascii="Times New Roman" w:hAnsi="Times New Roman" w:cs="Times New Roman"/>
          <w:sz w:val="28"/>
          <w:szCs w:val="28"/>
        </w:rPr>
        <w:t>прибывающих в Российскую Федерацию на основании визы.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Приказом Министерства труда и социальной защиты населения Российской Федерации от 28 мая 2015 года № 324н (в редакции Приказа Минтруда России от 10.02.2016 № 47н) утвержден перечень профессий (специальностей, должностей) квалифицированных специалистов на которых квота на выдачу разрешений на работу не распространяется. Перечень включает 78 наименований профессий (специальностей, должностей).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Что необходимо знать работодателю для оформления квоты на привлечение иностранных работников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прибывающих в Российскую Федерацию в порядке, требующем получения визы: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Департамент труда и занятости населения Ханты-Мансийского автономного округа – Югры через центры занятости населения осуществляет прием заявок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работодателей о потребности в привлечении иностранных работников, прибывающих в Российскую Федерацию на основании визы,  для замещения вакантных и создаваемых рабочих мест,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Правилами, утвержденными приказом Министерства труда и социальной защиты Российской Федерации от 23.01.2014 № 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 (далее-Правила).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 принятия решения о приеме на работу иностранных граждан, работодатель должен предварительно провести поиск российских граждан, в том числе граждан из других регионов РФ, по имеющимся вакансиям, на которые планируется привлекать иностранных специалистов. Для этого з</w:t>
      </w:r>
      <w:r>
        <w:rPr>
          <w:rFonts w:ascii="Times New Roman" w:hAnsi="Times New Roman" w:cs="Times New Roman"/>
          <w:sz w:val="28"/>
          <w:szCs w:val="28"/>
        </w:rPr>
        <w:t>а 1 месяц до подачи заявки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предварительно представить в центр занятости по месту привлечения работников сведения о потребности в работниках, наличии свободных рабочих мест (вакантных должностей) для подбора необходимых работников из числа российских граждан, в том числе граждан из других регионов Российской Федерации, по профессиям (специальностям, должностям), на которые планируется привлечение иностранных работников.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Заявки оформляются работодателем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АИК «Миграционные квоты», размещенной в информационно - телекоммуникационной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"http://www.migrakvota.gov.ru" </w:instrText>
      </w:r>
      <w:r>
        <w:rPr>
          <w:sz w:val="28"/>
          <w:szCs w:val="28"/>
        </w:rPr>
        <w:fldChar w:fldCharType="separate"/>
      </w:r>
      <w:r>
        <w:rPr>
          <w:rStyle w:val="5"/>
          <w:rFonts w:ascii="Times New Roman" w:hAnsi="Times New Roman" w:cs="Times New Roman"/>
          <w:b/>
          <w:sz w:val="28"/>
          <w:szCs w:val="28"/>
        </w:rPr>
        <w:t>www.</w:t>
      </w:r>
      <w:r>
        <w:rPr>
          <w:rStyle w:val="5"/>
          <w:rFonts w:ascii="Times New Roman" w:hAnsi="Times New Roman" w:cs="Times New Roman"/>
          <w:b/>
          <w:sz w:val="28"/>
          <w:szCs w:val="28"/>
          <w:lang w:val="en-US"/>
        </w:rPr>
        <w:t>migrakvota</w:t>
      </w:r>
      <w:r>
        <w:rPr>
          <w:rStyle w:val="5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/>
          <w:sz w:val="28"/>
          <w:szCs w:val="28"/>
          <w:lang w:val="en-US"/>
        </w:rPr>
        <w:t>gov</w:t>
      </w:r>
      <w:r>
        <w:rPr>
          <w:rStyle w:val="5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представляют в центры занятости населения по месту привлечения иностранных работников на бумажном носителе по форме, предусмотренной приложением № 1 к Правилам.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Вместе с заявкой работодатель представляет обоснование потребности в привлечении иностранных работников.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Заявки представляются в центр занятости населения муниципального образования, на территории которого работодатель планирует привлечение иностранных работников.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рассмотрению не принимаются заявки, в которых: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допустимая доля иностранных работников, используемых хозяйствующими субъектами, осуществляющими деятельность в сфере розничной торговли и в области спорта на территории Российской Федерации, превышает установленные пределы, ежегодно определяемые Правительством Российской Федерации;</w:t>
      </w:r>
    </w:p>
    <w:p>
      <w:pPr>
        <w:pStyle w:val="9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заработной платы, указанный работодателем в заявке, ниже минимального размера заработной платы, установленного в Ханты-Мансийском автономном округе – Югре и ниже величины прожиточного минимума трудоспособного населения, установленного в автономном округе на дату представления заявки (с учетом возможного изменения величины прожиточного минимума на дату рассмотрения заявки в Минтруде России).</w:t>
      </w:r>
    </w:p>
    <w:p>
      <w:pPr>
        <w:pStyle w:val="8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Заявки рассматривает Межведомственная комиссия по вопросам привлечения и использования иностранных работников Ханты-Мансийского автономного округа – Югры (далее – Межведомственная комиссия).</w:t>
      </w:r>
    </w:p>
    <w:p>
      <w:pPr>
        <w:pStyle w:val="8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решений Межведомственной комиссии Правительство Ханты-Мансийского автономного округа – Югры определяет потребность в привлечении иностранных работников, прибывающих в Российскую Федерацию в порядке, требующем получения визы.</w:t>
      </w:r>
    </w:p>
    <w:p>
      <w:pPr>
        <w:pStyle w:val="8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Сформированные предложения о потребности региона в привлечении иностранных работников, прибывающих в Российскую Федерацию в порядке, требующем получения визы, направляются для рассмотрения в Министерство труда и социальной защиты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8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Получение патента</w:t>
      </w:r>
    </w:p>
    <w:p>
      <w:pPr>
        <w:spacing w:after="0" w:line="240" w:lineRule="auto"/>
        <w:ind w:firstLine="708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Статьей 13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Федерального закона от 24 ноября 2014 г. 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 определено, что законно находящийся на территории Российской Федерации иностранный гражданин, прибывший в Российскую Федерацию в порядке, не требующем получения визы, и достигший возраста 18-ти лет имеет право осуществлять трудовую деятельность на основании патента, как у физических, так и у юридических лиц.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Что необходимо знать для получения патента иностранному гражданину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прибывшему в Ханты-Мансийский автономный округ – Югру в порядке, не требующем получения визы.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получения патента иностранный гражданин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прибывший в Российскую Федерацию в порядке, не требующем получения визы, и достигший возраста 18-ти лет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течение тридцати календарных дней со дня въезда в Российскую Федерацию представляет лично или через уполномоченную  субъектом Российской Федерации организацию (</w:t>
      </w:r>
      <w:r>
        <w:rPr>
          <w:rFonts w:ascii="Times New Roman" w:hAnsi="Times New Roman" w:eastAsia="Calibri" w:cs="Times New Roman"/>
          <w:sz w:val="28"/>
          <w:szCs w:val="28"/>
        </w:rPr>
        <w:t>федеральное государственное унитарное предприятие «Паспортно-визовый сервис» МВД России)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территориальный орган МВД России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следующие документы: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Заявление о выдаче патента.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Документ, удостоверяющий личность и признаваемый Российской Федерацией в этом качестве.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Миграционную карту с указанием работы как цели визита в Российскую Федерацию и с отметкой органа пограничного контроля о въезде в Российскую Федерацию или с отметкой УМВД России по ХМАО – Югре о выдаче указанной миграционной карты.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Действующий на территории Российской Федерации на срок осуществления трудовой деятельности договор (полис) добровольного медицинского страхования либо договор о предоставлении платных медицинских услуг, заключенный с медицинской организацией, находящейся на территории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уполномоченной на основании р</w:t>
      </w:r>
      <w:r>
        <w:rPr>
          <w:rFonts w:ascii="Times New Roman" w:hAnsi="Times New Roman" w:cs="Times New Roman"/>
          <w:bCs/>
          <w:sz w:val="28"/>
          <w:szCs w:val="28"/>
        </w:rPr>
        <w:t>аспоряжения Правительства Ханты-Мансийского автономного округа – Югры от 30 января 2015 года № 25-рп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на заключение указанных договоров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Документы, подтверждающие отсутствие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заболевания, вызываемого вирусом иммунодефицита человека (ВИЧ-инфекции), выданные медицинскими организациями,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находящимися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Югры,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уполномоченными на основании р</w:t>
      </w:r>
      <w:r>
        <w:rPr>
          <w:rFonts w:ascii="Times New Roman" w:hAnsi="Times New Roman" w:cs="Times New Roman"/>
          <w:bCs/>
          <w:sz w:val="28"/>
          <w:szCs w:val="28"/>
        </w:rPr>
        <w:t>аспоряжения Правительства Ханты-Мансийского автономного округа – Югры от 19 декабря 2014 года № 695-рп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на выдачу указанных медицинских документов.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Документ, подтверждающий владение русским языком, знание истории России и основ законодательства Российской Федерации.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Документ, подтверждающий уплату штрафа за нарушение срока обращения за оформлением патента, в случае представления вышеперечисленных документов по истечении тридцати календарных дней со дня въезда в Российскую Федерацию.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 Документы о постановке на учет по месту пребывания.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Патент выдается на срок от одного до двенадцати месяцев УМВД России по ХМАО – Югре не позднее десяти рабочих дней, со дня принятия заявления о его выдаче.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 действия патента может неоднократно продлеваться на период от одного месяца. При этом общий срок действия патента с учетом продлений не может составлять более двенадцати месяцев со дня его выдачи.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платежа. В этом случае обращение в УМВД России по ХМАО – Югре не требуется.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Патент выдается иностранному гражданину лично по предъявлении документа, удостоверяющего его личность и признаваемого Российской Федерацией в этом качестве, а также документа, подтверждающего уплату налога на доходы физических лиц в виде фиксированного авансового платежа на период действия патента.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Патент предоставляет право иностранному гражданину осуществлять трудовую деятельность только на территории того субъекта Российской Федерации, в котором выдан.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Иностранный гражданин, осуществляющий трудовую деятельность у юридических лиц или индивидуальных предпринимателей либо частных нотариусов, адвокатов, учредивших адвокатский кабинет, или иных лиц, чья профессиональная деятельность в соответствии с федеральными законами подлежит государственной регистрации и (или) лицензированию, обязан в течение двух месяцев со дня выдачи патента представить лично либо направить заказным почтовым отправлением с уведомлением о вручении в УМВД России по ХМАО – Югре, выдавший патент, копию трудового договора или гражданско-правового договора на выполнение работ (оказание услуг).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Обязанность работодателя уведомлять УМВД России по Ханты-Мансийскому автономному округу – Югре о заключении и расторжении трудового договора с иностранным работником</w:t>
      </w: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13 Федерального закона 115-ФЗ 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Форма и порядок подачи указанного уведомления установлены приказом МВД России от 10.01.2018 № 11 «О формах и порядке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</w:t>
      </w:r>
      <w:r>
        <w:rPr>
          <w:sz w:val="28"/>
          <w:szCs w:val="28"/>
        </w:rPr>
        <w:t>».</w:t>
      </w: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Департаменте труда и занятости населения Ханты-Мансийского автономного округа – Югры по телефону: 8 (3467) 32-05-09;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УМВД России по Ханты-Мансийскому автономному округу – Югре по телефонам: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(3467) 30-01-73, 30-01-79.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sectPr>
      <w:headerReference r:id="rId5" w:type="default"/>
      <w:pgSz w:w="11906" w:h="16838"/>
      <w:pgMar w:top="1134" w:right="850" w:bottom="709" w:left="6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048179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60"/>
    <w:rsid w:val="0009590C"/>
    <w:rsid w:val="000A7A3C"/>
    <w:rsid w:val="001D41A4"/>
    <w:rsid w:val="00292681"/>
    <w:rsid w:val="0030413D"/>
    <w:rsid w:val="00384969"/>
    <w:rsid w:val="00461C90"/>
    <w:rsid w:val="00483511"/>
    <w:rsid w:val="00547360"/>
    <w:rsid w:val="005B4DA8"/>
    <w:rsid w:val="00607C44"/>
    <w:rsid w:val="00612C77"/>
    <w:rsid w:val="006A7890"/>
    <w:rsid w:val="006B6316"/>
    <w:rsid w:val="006D3ECA"/>
    <w:rsid w:val="007922F2"/>
    <w:rsid w:val="007D35AE"/>
    <w:rsid w:val="008B0537"/>
    <w:rsid w:val="00924F08"/>
    <w:rsid w:val="009341C3"/>
    <w:rsid w:val="009C2DE9"/>
    <w:rsid w:val="009C6B7D"/>
    <w:rsid w:val="00A35132"/>
    <w:rsid w:val="00A565B3"/>
    <w:rsid w:val="00B01693"/>
    <w:rsid w:val="00C25068"/>
    <w:rsid w:val="00CD2C3D"/>
    <w:rsid w:val="00D4311E"/>
    <w:rsid w:val="00D540F0"/>
    <w:rsid w:val="00E14A8B"/>
    <w:rsid w:val="00E4559F"/>
    <w:rsid w:val="00F35EA1"/>
    <w:rsid w:val="00F62F58"/>
    <w:rsid w:val="00F9345E"/>
    <w:rsid w:val="57610790"/>
    <w:rsid w:val="67C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3"/>
    <w:link w:val="6"/>
    <w:uiPriority w:val="99"/>
  </w:style>
  <w:style w:type="character" w:customStyle="1" w:styleId="11">
    <w:name w:val="Нижний колонтитул Знак"/>
    <w:basedOn w:val="3"/>
    <w:link w:val="7"/>
    <w:uiPriority w:val="99"/>
  </w:style>
  <w:style w:type="character" w:customStyle="1" w:styleId="12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4A035-0092-48E2-A4CE-A316DA0D4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1910</Words>
  <Characters>10890</Characters>
  <Lines>90</Lines>
  <Paragraphs>25</Paragraphs>
  <TotalTime>13</TotalTime>
  <ScaleCrop>false</ScaleCrop>
  <LinksUpToDate>false</LinksUpToDate>
  <CharactersWithSpaces>12775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2019-01-28T12:26:00Z</dcterms:created>
  <dc:creator>Кротова Галина Гильмановна</dc:creator>
  <cp:lastModifiedBy>1</cp:lastModifiedBy>
  <cp:lastPrinted>2016-02-12T06:03:00Z</cp:lastPrinted>
  <dcterms:modified xsi:type="dcterms:W3CDTF">2025-03-20T16:22:54Z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