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240"/>
        <w:ind w:left="142"/>
        <w:jc w:val="both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Комплект документов для подачи Заявки:</w:t>
      </w:r>
    </w:p>
    <w:bookmarkEnd w:id="0"/>
    <w:p>
      <w:pPr>
        <w:shd w:val="clear"/>
        <w:jc w:val="both"/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</w:pPr>
    </w:p>
    <w:p>
      <w:pPr>
        <w:pStyle w:val="6"/>
        <w:numPr>
          <w:ilvl w:val="0"/>
          <w:numId w:val="1"/>
        </w:numPr>
        <w:shd w:val="clear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Заявка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на заключение соглашения об осуществлении инвестиционной деятельности в Арктической зоне Российской Федерации.</w:t>
      </w:r>
    </w:p>
    <w:p>
      <w:pPr>
        <w:pStyle w:val="6"/>
        <w:numPr>
          <w:ilvl w:val="0"/>
          <w:numId w:val="1"/>
        </w:numPr>
        <w:shd w:val="clear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Копии учредительных документов (для ЮЛ) или копия паспорта (для ИП).</w:t>
      </w:r>
    </w:p>
    <w:p>
      <w:pPr>
        <w:numPr>
          <w:ilvl w:val="0"/>
          <w:numId w:val="1"/>
        </w:numPr>
        <w:shd w:val="clear"/>
        <w:ind w:left="717" w:leftChars="0" w:hanging="36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Бизнес-план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инвестиционного проекта. </w:t>
      </w:r>
    </w:p>
    <w:p>
      <w:pPr>
        <w:pStyle w:val="6"/>
        <w:numPr>
          <w:ilvl w:val="0"/>
          <w:numId w:val="1"/>
        </w:numPr>
        <w:shd w:val="clear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 xml:space="preserve">План-график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реализации инвестиционного проекта.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 </w:t>
      </w:r>
    </w:p>
    <w:p>
      <w:pPr>
        <w:pStyle w:val="6"/>
        <w:numPr>
          <w:ilvl w:val="0"/>
          <w:numId w:val="1"/>
        </w:numPr>
        <w:shd w:val="clear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Выписка из ЕГРЮЛ/ЕГРИП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.</w:t>
      </w:r>
    </w:p>
    <w:p>
      <w:pPr>
        <w:numPr>
          <w:ilvl w:val="0"/>
          <w:numId w:val="1"/>
        </w:numPr>
        <w:shd w:val="clear"/>
        <w:ind w:left="717" w:leftChars="0" w:hanging="36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Копия Свидетельства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о постановке на учет в налоговом органе (для юр. лиц).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Копия листа записи ЕГРИП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/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 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свидетельства о внесении записи в ЕГРИП/ свидетельства о гос. регистрации физ. лица в качестве индивидуального предпринимателя (для ИП).</w:t>
      </w:r>
    </w:p>
    <w:p>
      <w:pPr>
        <w:numPr>
          <w:ilvl w:val="0"/>
          <w:numId w:val="1"/>
        </w:numPr>
        <w:shd w:val="clear"/>
        <w:ind w:left="717" w:leftChars="0" w:hanging="36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Справка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налогового органа, подтверждающая отсутствие просроченной (неурегулированной) задолженности по денежным обязательствам перед Российской Федерацией, а также по обязательным платежам в бюджеты бюджетной системы Российской Федерации 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(форма КНД 1120101)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.</w:t>
      </w:r>
    </w:p>
    <w:p>
      <w:pPr>
        <w:numPr>
          <w:ilvl w:val="0"/>
          <w:numId w:val="1"/>
        </w:numPr>
        <w:shd w:val="clear"/>
        <w:ind w:left="717" w:leftChars="0" w:hanging="36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Бухгалтерская отчетность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(или налоговая отчетность) заявителя за 3 предыдущих года (либо за период осуществления деятельности в случае, если деятельность осуществляется менее трех лет).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9.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Справка о полученной выручке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в разрезе по видам экономической деятельности за 3 предыдущих календарных года (или за весь период деятельности заявителя в случае, если деятельность осуществлялась менее 3 лет).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10.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Планируемое штатное расписание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резидента Арктической зоны при максимальной мощности.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12.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Объем налоговых поступлений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от реализации инвестиционного проекта в бюджеты различных уровней с учетом льгот резидента 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13. 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Объем фактически осуществленных капитальных вложений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в проект на дату подачи заявки. </w:t>
      </w:r>
    </w:p>
    <w:p>
      <w:pPr>
        <w:shd w:val="clear"/>
        <w:ind w:left="714" w:hanging="357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14. 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Согласие на обработку персональных данных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/>
        <w:ind w:left="714" w:hanging="35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15.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eastAsia="ru-RU"/>
          <w14:ligatures w14:val="none"/>
        </w:rPr>
        <w:t>План размещения объектов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 на испрашиваемом земельном участке (в свободной форме).</w:t>
      </w:r>
    </w:p>
    <w:sectPr>
      <w:pgSz w:w="11906" w:h="16838"/>
      <w:pgMar w:top="672" w:right="850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96993"/>
    <w:multiLevelType w:val="multilevel"/>
    <w:tmpl w:val="23D96993"/>
    <w:lvl w:ilvl="0" w:tentative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37" w:hanging="360"/>
      </w:pPr>
    </w:lvl>
    <w:lvl w:ilvl="2" w:tentative="0">
      <w:start w:val="1"/>
      <w:numFmt w:val="lowerRoman"/>
      <w:lvlText w:val="%3."/>
      <w:lvlJc w:val="right"/>
      <w:pPr>
        <w:ind w:left="2157" w:hanging="180"/>
      </w:pPr>
    </w:lvl>
    <w:lvl w:ilvl="3" w:tentative="0">
      <w:start w:val="1"/>
      <w:numFmt w:val="decimal"/>
      <w:lvlText w:val="%4."/>
      <w:lvlJc w:val="left"/>
      <w:pPr>
        <w:ind w:left="2877" w:hanging="360"/>
      </w:pPr>
    </w:lvl>
    <w:lvl w:ilvl="4" w:tentative="0">
      <w:start w:val="1"/>
      <w:numFmt w:val="lowerLetter"/>
      <w:lvlText w:val="%5."/>
      <w:lvlJc w:val="left"/>
      <w:pPr>
        <w:ind w:left="3597" w:hanging="360"/>
      </w:pPr>
    </w:lvl>
    <w:lvl w:ilvl="5" w:tentative="0">
      <w:start w:val="1"/>
      <w:numFmt w:val="lowerRoman"/>
      <w:lvlText w:val="%6."/>
      <w:lvlJc w:val="right"/>
      <w:pPr>
        <w:ind w:left="4317" w:hanging="180"/>
      </w:pPr>
    </w:lvl>
    <w:lvl w:ilvl="6" w:tentative="0">
      <w:start w:val="1"/>
      <w:numFmt w:val="decimal"/>
      <w:lvlText w:val="%7."/>
      <w:lvlJc w:val="left"/>
      <w:pPr>
        <w:ind w:left="5037" w:hanging="360"/>
      </w:pPr>
    </w:lvl>
    <w:lvl w:ilvl="7" w:tentative="0">
      <w:start w:val="1"/>
      <w:numFmt w:val="lowerLetter"/>
      <w:lvlText w:val="%8."/>
      <w:lvlJc w:val="left"/>
      <w:pPr>
        <w:ind w:left="5757" w:hanging="360"/>
      </w:pPr>
    </w:lvl>
    <w:lvl w:ilvl="8" w:tentative="0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BE"/>
    <w:rsid w:val="0046079E"/>
    <w:rsid w:val="004C1ED0"/>
    <w:rsid w:val="006732BE"/>
    <w:rsid w:val="006C367F"/>
    <w:rsid w:val="00725CD8"/>
    <w:rsid w:val="00B11E42"/>
    <w:rsid w:val="00B90FC2"/>
    <w:rsid w:val="00E8432B"/>
    <w:rsid w:val="6ED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1665</Characters>
  <Lines>13</Lines>
  <Paragraphs>3</Paragraphs>
  <TotalTime>6</TotalTime>
  <ScaleCrop>false</ScaleCrop>
  <LinksUpToDate>false</LinksUpToDate>
  <CharactersWithSpaces>1954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2024-03-12T07:55:00Z</dcterms:created>
  <dc:creator>Владимир Гудков</dc:creator>
  <cp:lastModifiedBy>IvanovaYV</cp:lastModifiedBy>
  <dcterms:modified xsi:type="dcterms:W3CDTF">2024-10-29T11:46:11Z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