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октября 2018 года N 344-п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РАСЧЕТА И ПРЕДОСТАВЛЕНИЯ СУБСИДИИ НА ПОДДЕРЖКУ МАЛЫХ ФОРМ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ХОЗЯЙСТВОВАНИЯ, НА РАЗВИТИЕ МАТЕРИАЛЬНО-ТЕХНИЧЕСКОЙ БАЗЫ (ЗА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ИСКЛЮЧЕНИЕМ ЛИЧНЫХ ПОДСОБНЫХ ХОЗЯЙСТВ) (ДАЛЕЕ - ПОРЯДОК)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A939E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39EA" w:rsidRDefault="00A9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  <w:bookmarkStart w:id="0" w:name="_GoBack"/>
            <w:bookmarkEnd w:id="0"/>
          </w:p>
          <w:p w:rsidR="00A939EA" w:rsidRDefault="00A9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ХМАО - Югры от 19.12.2019 N 509-п)</w:t>
            </w:r>
          </w:p>
        </w:tc>
      </w:tr>
    </w:tbl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Условия предоставления и размер субсидии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Порядок определяет правила расчета и предоставления субсидии для реализации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>
        <w:rPr>
          <w:rFonts w:ascii="Arial" w:hAnsi="Arial" w:cs="Arial"/>
          <w:sz w:val="20"/>
          <w:szCs w:val="20"/>
        </w:rPr>
        <w:t xml:space="preserve"> "Развитие отрасли животноводства"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автономного округа.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>
        <w:rPr>
          <w:rFonts w:ascii="Arial" w:hAnsi="Arial" w:cs="Arial"/>
          <w:sz w:val="20"/>
          <w:szCs w:val="20"/>
        </w:rPr>
        <w:t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затрат (недополученных доходов) по следующим направлениям: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"/>
      <w:bookmarkEnd w:id="2"/>
      <w:r>
        <w:rPr>
          <w:rFonts w:ascii="Arial" w:hAnsi="Arial" w:cs="Arial"/>
          <w:sz w:val="20"/>
          <w:szCs w:val="20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"/>
      <w:bookmarkEnd w:id="3"/>
      <w:r>
        <w:rPr>
          <w:rFonts w:ascii="Arial" w:hAnsi="Arial" w:cs="Arial"/>
          <w:sz w:val="20"/>
          <w:szCs w:val="20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приобретение сельскохозяйственной техники из перечня, утвержденного Департаментом промышленности автономного округа (далее - Департамент), и (или) соответствующей требованиям, установленным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оборудования для перерабатывающих производств сельскохозяйственной продукции;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процентов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продуктивности сельскохозяйственных животных (птицы) по муниципальному образованию (далее - продуктивность). Сведения о продуктивности </w:t>
      </w:r>
      <w:r>
        <w:rPr>
          <w:rFonts w:ascii="Arial" w:hAnsi="Arial" w:cs="Arial"/>
          <w:sz w:val="20"/>
          <w:szCs w:val="20"/>
        </w:rPr>
        <w:lastRenderedPageBreak/>
        <w:t>устанавливаются в соответствии с отчетными данными, представляемыми в Уполномоченный орган Получателями, осуществляющими деятельность на территории муниципального образования.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4"/>
      <w:bookmarkEnd w:id="4"/>
      <w:r>
        <w:rPr>
          <w:rFonts w:ascii="Arial" w:hAnsi="Arial" w:cs="Arial"/>
          <w:sz w:val="20"/>
          <w:szCs w:val="20"/>
        </w:rPr>
        <w:t>1.3. Субсидия предоставляется сельскохозяйственным товаропроизводителям: 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(далее - Получатели).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Юридическим лицам - оленеводческим организациям независимо от организационно-правовых форм субсидии предоставляются на приобретение мобильных высокотехнологичных убойных пунктов с целью сбора эндокринно-ферментного и специального сырья при убое оленей.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реализации Порядка к возмещению относятся затраты за текущий финансовый год, отчетный финансовый год и год, предшествующий отчетному финансовому году.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предоставления субсидии применяются следующие понятия: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полезная площадь - не менее 650 метров квадратных (для животноводческих объектов и теплиц круглогодичного выращивания овощных и зеленных культур);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 поения и кормления сельскохозяйственных животных, уборки навоза (для животноводческих объектов, за исключением объектов по содержанию мелкого рогатого скота),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зеленных культур);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вместимость не менее 50 тонн продукции (для овощехранилищ (картофелехранилищ)).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общая полезная площадь - не менее 150 метров квадратных;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</w:t>
      </w:r>
      <w:r>
        <w:rPr>
          <w:rFonts w:ascii="Arial" w:hAnsi="Arial" w:cs="Arial"/>
          <w:sz w:val="20"/>
          <w:szCs w:val="20"/>
        </w:rPr>
        <w:lastRenderedPageBreak/>
        <w:t>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Мобильный высокотехнологичный убойный пункт с целью сбора эндокринно-ферментного и специального сырья при убое оленей: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оборудования для сбора и хранения эндокринно-ферментного и специального сырья.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Уполномоченным органом в текущем финансовом году каждому Получателю, рассчитывается по формуле: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1036955" cy="389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где: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Vis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Vмоs</w:t>
      </w:r>
      <w:proofErr w:type="spellEnd"/>
      <w:r>
        <w:rPr>
          <w:rFonts w:ascii="Arial" w:hAnsi="Arial" w:cs="Arial"/>
          <w:sz w:val="20"/>
          <w:szCs w:val="20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Vмо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просроченной задолженности по возврату в бюджет муниципального образования субсидии,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должны получать средства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0"/>
      <w:bookmarkEnd w:id="5"/>
      <w:r>
        <w:rPr>
          <w:rFonts w:ascii="Arial" w:hAnsi="Arial" w:cs="Arial"/>
          <w:sz w:val="20"/>
          <w:szCs w:val="20"/>
        </w:rPr>
        <w:t>1.5. Критерии отбора Получателей: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Получателем деятельности в автономном округе 12 и более месяцев;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поголовья сельскохозяйственных животных.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Правила предоставления субсидии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7"/>
      <w:bookmarkEnd w:id="6"/>
      <w:r>
        <w:rPr>
          <w:rFonts w:ascii="Arial" w:hAnsi="Arial" w:cs="Arial"/>
          <w:sz w:val="20"/>
          <w:szCs w:val="20"/>
        </w:rPr>
        <w:t>2.1. Уполномоченный орган размещает информацию о порядке, сроках предоставления, наличии лимитов субсидии на своем официальном сайте (далее - Сайт) не позднее 31 января текущего финансового года.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представляют в Уполномоченный орган до 10 декабря текущего финансового года: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0"/>
      <w:bookmarkEnd w:id="7"/>
      <w:r>
        <w:rPr>
          <w:rFonts w:ascii="Arial" w:hAnsi="Arial" w:cs="Arial"/>
          <w:sz w:val="20"/>
          <w:szCs w:val="20"/>
        </w:rPr>
        <w:t>2.1.1.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выполнении работ подрядным способом: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договоров на выполнение проектно-изыскательских работ, строительно-монтажных работ;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проектно-сметной документации;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копии актов о приемке выполненных работ (форма КС-2);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справок о стоимости выполненных работ и затрат (форма КС-3);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оплату выполненных работ;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выполнении работ собственными силами: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субсидии по форме, установленной Уполномоченным органом;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 автономного округа;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3"/>
      <w:bookmarkEnd w:id="8"/>
      <w:r>
        <w:rPr>
          <w:rFonts w:ascii="Arial" w:hAnsi="Arial" w:cs="Arial"/>
          <w:sz w:val="20"/>
          <w:szCs w:val="20"/>
        </w:rP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4"/>
      <w:bookmarkEnd w:id="9"/>
      <w:r>
        <w:rPr>
          <w:rFonts w:ascii="Arial" w:hAnsi="Arial" w:cs="Arial"/>
          <w:sz w:val="20"/>
          <w:szCs w:val="20"/>
        </w:rPr>
        <w:lastRenderedPageBreak/>
        <w:t>заявление о предоставлении субсидии по форме, установленной Уполномоченным органом;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справку-расчет о движении поголовья сельскохозяйственных животных по формам, установленным Департаментом (при наличии поголовья сельскохозяйственных животных и (или) птицы);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7"/>
      <w:bookmarkEnd w:id="10"/>
      <w:r>
        <w:rPr>
          <w:rFonts w:ascii="Arial" w:hAnsi="Arial" w:cs="Arial"/>
          <w:sz w:val="20"/>
          <w:szCs w:val="20"/>
        </w:rPr>
        <w:t>справку об отсутствии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муниципального образования;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транспортного средства (при наличии);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регистрации транспортного средства (при наличии).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2"/>
      <w:bookmarkEnd w:id="11"/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 (далее - документы).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Уполномоченного органа, ответственное за прием документов, в течение 1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поступлении документов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Югры", в том числе посредством автоматизированной информационно-аналитической системы агропромышленного комплекса автономного округа (далее - Портал), прием и регистрация документов обеспечивается без необходимости их дополнительной подачи в какой-либо иной форме.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Форматно-логическая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документов. При выявлении некорректно </w:t>
      </w:r>
      <w:r>
        <w:rPr>
          <w:rFonts w:ascii="Arial" w:hAnsi="Arial" w:cs="Arial"/>
          <w:sz w:val="20"/>
          <w:szCs w:val="20"/>
        </w:rPr>
        <w:lastRenderedPageBreak/>
        <w:t>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регистрации документов, поданных Получателем посредством Портала, должностное лицо Уполномоченного органа, ответственное за предоставление государственной услуги, статус документов в личном кабинете Получателя обновляет до статуса "принято".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Требовать от Получателя представления документов, не предусмотренных Порядком, не допускается.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Документы, предусмотренные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представляются в Уполномоченный орган одним из следующих способов: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электронной форме - с использованием Портала.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государственной поддержки в соответствии с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третьим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- на цели,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Порядка (в органе местного самоуправления муниципального образования автономного округа);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третьим пункта 1.2</w:t>
        </w:r>
      </w:hyperlink>
      <w:r>
        <w:rPr>
          <w:rFonts w:ascii="Arial" w:hAnsi="Arial" w:cs="Arial"/>
          <w:sz w:val="20"/>
          <w:szCs w:val="20"/>
        </w:rPr>
        <w:t xml:space="preserve"> Порядка документы, подтверждающие наполняемость имеющихся животноводческих помещений </w:t>
      </w:r>
      <w:r>
        <w:rPr>
          <w:rFonts w:ascii="Arial" w:hAnsi="Arial" w:cs="Arial"/>
          <w:sz w:val="20"/>
          <w:szCs w:val="20"/>
        </w:rPr>
        <w:lastRenderedPageBreak/>
        <w:t>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Уполномоченный орган в течение 10 рабочих дней с даты регистрации документов,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ее предоставлении оформляет правовым актом Уполномоченный орган.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28"/>
      <w:bookmarkEnd w:id="12"/>
      <w:r>
        <w:rPr>
          <w:rFonts w:ascii="Arial" w:hAnsi="Arial" w:cs="Arial"/>
          <w:sz w:val="20"/>
          <w:szCs w:val="20"/>
        </w:rPr>
        <w:t>2.7. 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9"/>
      <w:bookmarkEnd w:id="13"/>
      <w:r>
        <w:rPr>
          <w:rFonts w:ascii="Arial" w:hAnsi="Arial" w:cs="Arial"/>
          <w:sz w:val="20"/>
          <w:szCs w:val="20"/>
        </w:rP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Соглашение заключается по форме, установленной финансовым органом муниципального образования автономного округа.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Соглашение должно содержать следующие положения: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результативности;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направления затрат, на возмещение которых предоставляется субсидия;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Получателем условий Соглашения;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Получателя об использовании субсидии;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контрольных мероприятий;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размера штрафных санкций.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уведомление, подписанное руководителем Уполномоченного органа или лицом, его замещающим, с указанием причин отказа почтовым отправлением или вручает лично.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41"/>
      <w:bookmarkEnd w:id="14"/>
      <w:r>
        <w:rPr>
          <w:rFonts w:ascii="Arial" w:hAnsi="Arial" w:cs="Arial"/>
          <w:sz w:val="20"/>
          <w:szCs w:val="20"/>
        </w:rPr>
        <w:t>2.11. Основаниями для отказа в предоставлении субсидии являются: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Соглашения ненадлежащим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добровольный письменный отказ Получателя от субсидии;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отсутствие лимитов, предусмотренных для предоставления субсидии в бюджете муниципального образования;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Соглашения с нарушением установленной формы;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Получателем срока представления в Уполномоченный орган подписанного Соглашения, установленного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2.7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добровольный письменный отказ Получателя от субсидии;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непредставление Получателем документов (представление не полном объеме), указанных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подпунктах 2.1.1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2.1.2 пункта 2.1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документов с нарушением требований к их оформлению, в соответствии с абзацами третьим - шестым, пятнадцатым, семнадцатым - двадцатым, двадцать третьим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подпункта 2.1.1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пятым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десятым подпункта 2.1.2 пункта 2.1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Получателем информации;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Получателя требованиям, установленным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пунктами 1.3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1.5</w:t>
        </w:r>
      </w:hyperlink>
      <w:r>
        <w:rPr>
          <w:rFonts w:ascii="Arial" w:hAnsi="Arial" w:cs="Arial"/>
          <w:sz w:val="20"/>
          <w:szCs w:val="20"/>
        </w:rPr>
        <w:t xml:space="preserve"> Порядка, несоответствие предоставленной субсидии направлениям, установленным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пунктом 1.2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отсутствия оснований, предусмотренных в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пункте 2.11</w:t>
        </w:r>
      </w:hyperlink>
      <w:r>
        <w:rPr>
          <w:rFonts w:ascii="Arial" w:hAnsi="Arial" w:cs="Arial"/>
          <w:sz w:val="20"/>
          <w:szCs w:val="20"/>
        </w:rPr>
        <w:t xml:space="preserve"> Порядка, Уполномоченный орган перечисляет субсидию Получателю в пределах утвержденных бюджетных ассигнований в порядке и на счет, установленный Соглашением. Перечисление субсидии осуществляется в срок не более 10 рабочих дней с даты подписания сторонами Соглашения на расчетный счет Получателя, открытый в кредитной российской организации.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Уполномоченный орган самостоятельно и (или) совместно с органами государственного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вправе устанавливать сроки и формы представления Получателем отчетности о достижении показателей результативности субсидии, а также об исполнении Получателем взятых на себя обязательств, установленных Соглашением.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ежемесячно не позднее 5 рабочего дня месяца, следующего за отчетным, представляет в Уполномоченный орган отчет об использовании субсидии по форме, установленной правовым актом Уполномоченного органа.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Уполномоченный орган не позднее 20-го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Правила возврата субсидии в случае нарушения условий,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установленных при ее предоставлении</w:t>
      </w: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39EA" w:rsidRDefault="00A939EA" w:rsidP="00A93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64"/>
      <w:bookmarkEnd w:id="15"/>
      <w:r>
        <w:rPr>
          <w:rFonts w:ascii="Arial" w:hAnsi="Arial" w:cs="Arial"/>
          <w:sz w:val="20"/>
          <w:szCs w:val="20"/>
        </w:rPr>
        <w:lastRenderedPageBreak/>
        <w:t>3.1.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3.1.1. Уполномоченный орган в течение 5 рабочих дней с даты выявления нарушения, указанного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3.1</w:t>
        </w:r>
      </w:hyperlink>
      <w:r>
        <w:rPr>
          <w:rFonts w:ascii="Arial" w:hAnsi="Arial" w:cs="Arial"/>
          <w:sz w:val="20"/>
          <w:szCs w:val="20"/>
        </w:rPr>
        <w:t xml:space="preserve"> Порядка, направляет Получателю письменное уведомление о необходимости возврата субсидии (далее - уведомление).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Получатель в течение 30 рабочих дней со дня получения уведомления обязан выполнить требования, указанные в нем.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случае выявления факта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показателей результативности использования субсидии, установленных Соглашением: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суммы штрафа осуществляется по форме, установленной Соглашением.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A939EA" w:rsidRDefault="00A939EA" w:rsidP="00A939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4C732F" w:rsidRDefault="004C732F" w:rsidP="004C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C732F" w:rsidSect="008A23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8"/>
    <w:rsid w:val="004468D4"/>
    <w:rsid w:val="004C732F"/>
    <w:rsid w:val="0082183E"/>
    <w:rsid w:val="009253E8"/>
    <w:rsid w:val="00A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4AB6-AD8F-4885-BA4C-C2C39FC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915EEB53BEA1A27B5D0A7DA8B2234B323585C125D0EE7C16B6553CE2318CC450E4979F1EEAA997E163C3569F8TA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3245F55105D0EE7C16B6553CE2318CC450E4979F1EEAA997E163C3569F8TAM" TargetMode="External"/><Relationship Id="rId5" Type="http://schemas.openxmlformats.org/officeDocument/2006/relationships/hyperlink" Target="consultantplus://offline/ref=B55915EEB53BEA1A27B5CEAACCE7753BB62C0451135905B29F3C630491731E99174E1720B0AEB99B7E0F35613ACECDC8F4A021D1631235DF80FBT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55915EEB53BEA1A27B5CEAACCE7753BB62C0451135907B69F3C630491731E99174E1720B0AEB9987F083D326E81CC94B2F132D3661237DE9CB40116F5T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5114</Words>
  <Characters>29155</Characters>
  <Application>Microsoft Office Word</Application>
  <DocSecurity>0</DocSecurity>
  <Lines>242</Lines>
  <Paragraphs>68</Paragraphs>
  <ScaleCrop>false</ScaleCrop>
  <Company>diakov.net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2020-01-24T05:44:00Z</dcterms:created>
  <dcterms:modified xsi:type="dcterms:W3CDTF">2020-01-24T12:20:00Z</dcterms:modified>
</cp:coreProperties>
</file>