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0"/>
        <w:jc w:val="center"/>
      </w:pPr>
      <w:bookmarkStart w:id="0" w:name="_GoBack"/>
      <w:bookmarkEnd w:id="0"/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ОБЪЯВЛЕНИЕ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0"/>
        <w:jc w:val="center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об отборе получателей субсидии на достижение показателей государственной программы Российской Федерации «Развитие туризма»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0"/>
        <w:jc w:val="center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(иные бюджетные ассигнования (субсидии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услуг) 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709" w:right="0" w:firstLine="0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1. Основная информация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1.1. Наименование отбора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>Отбор получателей субсидии на 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>остижение показателей государственной программы Российской Федерации «Развитие туризма»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>(иные бюджетные ассигнования (субсидии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услуг)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1.2. Способ отбора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конкурс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1.3. Организатор отбора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ДЕПАРТАМЕНТ ПРОМЫШЛЕННОСТИ ХАНТЫ-МАНСИЙСКОГО АВТОНОМНОГО ОКРУГА - ЮГРЫ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Почтовый адрес 628011, ХАНТЫ-МАНСИЙСКИЙ АВТОНОМНЫЙ ОКРУГ - ЮГРА АВТОНОМНЫЙ, ГОРОД ХАНТЫ-МАНСИЙСК, УЛИЦА РОЗНИНА, Д. 64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Адрес электронной почты depprom@admhmao.ru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Контактные телефоны: Лапшина Ольга Сергеевна 8-3467-35-34-04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(3814); Ниязова Гузэль Исламовна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8-3467-35-34-04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(3817); Рощупкина Ирина Владимировна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8-3467-35-34-04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(3819);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1.4. Срок приема заявок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>14.10.2024 09:00 - 28.10.2024 23:29 (МСК)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1.5. Срок рассмотрения заявок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29.10.2024 - 05.11.2024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1.6. Срок оценки заявок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07.11.2024 - 08.11.2024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1.7. Срок объявления победителей отбора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В течение 1 дня после оценки заявок.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1.8. Срок заключения соглашения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В течение 11 дней со дня размещения результатов отбора.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1.9. Условия признания победителя отбора уклонившимся от заключения соглашения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>Победитель отбора не подписал соглашение о предоставлении субсидии и не направил возражения в течение 2 рабочих дней со дня его поступления на подписание в государственную интегрированную информационную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>систему управления общественными финансами «Электронный бюджет».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1.10. Необходимо привлечение софинансирования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Не менее 20 %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1.11. Результаты предоставления субсидии</w:t>
      </w:r>
    </w:p>
    <w:tbl>
      <w:tblPr>
        <w:tblStyle w:val="4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756"/>
        <w:gridCol w:w="1857"/>
        <w:gridCol w:w="1857"/>
        <w:gridCol w:w="18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</w:p>
        </w:tc>
        <w:tc>
          <w:tcPr>
            <w:tcW w:w="2756" w:type="dxa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</w:p>
        </w:tc>
        <w:tc>
          <w:tcPr>
            <w:tcW w:w="3715" w:type="dxa"/>
            <w:gridSpan w:val="2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Единица измерения по ОКЕИ</w:t>
            </w:r>
          </w:p>
        </w:tc>
        <w:tc>
          <w:tcPr>
            <w:tcW w:w="1857" w:type="dxa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№</w:t>
            </w:r>
          </w:p>
        </w:tc>
        <w:tc>
          <w:tcPr>
            <w:tcW w:w="2756" w:type="dxa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276" w:lineRule="auto"/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Наименование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результата</w:t>
            </w:r>
          </w:p>
        </w:tc>
        <w:tc>
          <w:tcPr>
            <w:tcW w:w="1857" w:type="dxa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Наименование</w:t>
            </w:r>
          </w:p>
        </w:tc>
        <w:tc>
          <w:tcPr>
            <w:tcW w:w="1857" w:type="dxa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Код</w:t>
            </w:r>
          </w:p>
        </w:tc>
        <w:tc>
          <w:tcPr>
            <w:tcW w:w="1857" w:type="dxa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Срок достижения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2756" w:type="dxa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276" w:lineRule="auto"/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Число туристских поездок</w:t>
            </w:r>
          </w:p>
        </w:tc>
        <w:tc>
          <w:tcPr>
            <w:tcW w:w="1857" w:type="dxa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Человек </w:t>
            </w:r>
          </w:p>
        </w:tc>
        <w:tc>
          <w:tcPr>
            <w:tcW w:w="1857" w:type="dxa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792</w:t>
            </w:r>
          </w:p>
        </w:tc>
        <w:tc>
          <w:tcPr>
            <w:tcW w:w="1857" w:type="dxa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31.12.2024</w:t>
            </w: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1.12. Дополнительные материалы по результатам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>Отсутствуют.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>1.13. Распределение средств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Объем распределяемых средств в текущем отборе</w:t>
      </w:r>
    </w:p>
    <w:tbl>
      <w:tblPr>
        <w:tblStyle w:val="4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7"/>
        <w:gridCol w:w="4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276" w:lineRule="auto"/>
              <w:ind w:left="0" w:right="0" w:firstLine="709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Год предоставления средств </w:t>
            </w:r>
          </w:p>
        </w:tc>
        <w:tc>
          <w:tcPr>
            <w:tcW w:w="4677" w:type="dxa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276" w:lineRule="auto"/>
              <w:ind w:left="0" w:right="0" w:firstLine="709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Сумма,  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276" w:lineRule="auto"/>
              <w:ind w:left="0" w:right="0" w:firstLine="709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2024</w:t>
            </w:r>
          </w:p>
        </w:tc>
        <w:tc>
          <w:tcPr>
            <w:tcW w:w="4677" w:type="dxa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276" w:lineRule="auto"/>
              <w:ind w:left="0" w:right="0" w:firstLine="709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41 675 133,40</w:t>
            </w: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Предельный размер субсидии для одного получателя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20 000 000,00 ₽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1.14. Количество победителей отбора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Не установлено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14:ligatures w14:val="none"/>
        </w:rPr>
        <w:t>1.15. Период реализации проектов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14:ligatures w14:val="none"/>
        </w:rPr>
        <w:t>Дата начала: 11.11.2024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14:ligatures w14:val="none"/>
        </w:rPr>
        <w:t>Дата окончания: 09.12.2024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2. Порядок проведения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2.1. Порядок подачи заявок и требования к их содержанию и форме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Заявки формируются в электронной форме и подписываются: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- усиленной квалифицированной электронной подписью руководителя участника отбора или уполномоченного им лица (на основании доверенности) для участников отбора юридических лиц и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индивидуальных предпринимателей;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- простой электронной подписью подтвержденной учетной записи физического лица в федеральной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государственной информационной системе «Единая система идентификации и аутентификации в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инфраструктуре, обеспечивающей информационно-технологическое взаимодействие информационных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систем, используемых для предоставления государственных и муниципальных услуг в электронной форме» либо усиленной квалифицированной электронной подписью (при наличии) для участников отбора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физических лиц.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Заявки формируются заявителем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копий документов (документов на бумажном носителе, преобразованных в электронную форму путем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сканирования), материалов и презентация проекта, представление которых предусмотрено в объявлении о проведении отбора.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Заявка подписывается усиленной квалифицированной электронной подписью руководителя заявителя или уполномоченного им лица (для юридических лиц и индивидуальных предпринимателей).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заявитель в соответствии с законодательством Российской Федерации.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Электронные копии документов, материалы и презентация проекта,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Фотоматериалы, включаемые в презентацию проекта, должны содержать четкое и контрастное изображение высокого качества. Датой и временем представления участником отбора заявки считаются дата и время подписания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заявителем указанной заявки с присвоением ей регистрационного номера в системе «Электронный бюджет».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2.2. Порядок отзыва заявок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Отзыв заявок возможен до окончания срока приема заявок.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Отзыв заявки осуществляется посредством формирования в электронной форме уведомления об отзыве заявки, которое подписывается: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- усиленной квалифицированной электронной подписью руководителя участника отбора или уполномоченного им лица (на основании доверенности) для участников отбора юридических лиц и индивидуальных предпринимателей;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- простой электронной подписью подтвержденной учетной записи физического лица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либо усиленной квалифицированной электронной подписью (при наличии) для участников отбора физических лиц.</w:t>
      </w:r>
    </w:p>
    <w:p>
      <w:pPr>
        <w:pStyle w:val="26"/>
        <w:suppressLineNumbers w:val="0"/>
        <w:spacing w:before="0" w:after="0" w:line="276" w:lineRule="auto"/>
        <w:ind w:left="0" w:righ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Участник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(заявитель)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отозвать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поданную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заявку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участником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отбора (заявителем) в электронной форме уведомления об отзыве заявки.</w:t>
      </w:r>
    </w:p>
    <w:p>
      <w:pPr>
        <w:pStyle w:val="26"/>
        <w:suppressLineNumbers w:val="0"/>
        <w:spacing w:before="0" w:after="0" w:line="276" w:lineRule="auto"/>
        <w:ind w:left="0" w:righ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отзыве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заявки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подписывается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усиленной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квалифицированной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подписью руководителя участника отбора (заявителя) или уполномоченного им лица (для юридических лиц и индивидуальных предпринимателей).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2.3. Порядок внесения изменения в заявки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До окончания срока приема заявок после формирования заявителем в электронной форме уведомления об отзыве заявки и последующего повторного формирования новой.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</w:t>
      </w:r>
      <w:r>
        <w:rPr>
          <w:spacing w:val="-4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этапе</w:t>
      </w:r>
      <w:r>
        <w:rPr>
          <w:spacing w:val="-3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рассмотрения</w:t>
      </w:r>
      <w:r>
        <w:rPr>
          <w:spacing w:val="-2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заявки</w:t>
      </w:r>
      <w:r>
        <w:rPr>
          <w:spacing w:val="-3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при</w:t>
      </w:r>
      <w:r>
        <w:rPr>
          <w:spacing w:val="-3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возврате</w:t>
      </w:r>
      <w:r>
        <w:rPr>
          <w:spacing w:val="-3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на</w:t>
      </w:r>
      <w:r>
        <w:rPr>
          <w:spacing w:val="-4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доработку</w:t>
      </w:r>
      <w:r>
        <w:rPr>
          <w:spacing w:val="-3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до</w:t>
      </w:r>
      <w:r>
        <w:rPr>
          <w:spacing w:val="-3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01.11.2024.</w:t>
      </w:r>
    </w:p>
    <w:p>
      <w:pPr>
        <w:pStyle w:val="26"/>
        <w:suppressLineNumbers w:val="0"/>
        <w:spacing w:before="0" w:after="0" w:line="276" w:lineRule="auto"/>
        <w:ind w:left="0" w:righ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 (заявитель) вправе внести изменения в заявку до даты окончания приема заявок после формирования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участником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(заявителем)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«Электронный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бюджет» уведомления об отзыве заявки и последующего формирования новой заявки.</w:t>
      </w:r>
    </w:p>
    <w:p>
      <w:pPr>
        <w:pStyle w:val="26"/>
        <w:suppressLineNumbers w:val="0"/>
        <w:spacing w:before="0" w:after="0" w:line="276" w:lineRule="auto"/>
        <w:ind w:left="0" w:righ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возврата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заявок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участникам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(заявителям)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получателей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субсидий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доработку.</w:t>
      </w:r>
    </w:p>
    <w:p>
      <w:pPr>
        <w:pStyle w:val="26"/>
        <w:suppressLineNumbers w:val="0"/>
        <w:spacing w:before="0" w:after="0" w:line="276" w:lineRule="auto"/>
        <w:ind w:left="0" w:righ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Департамент не позднее 1 рабочего дня до окончания срока возврата заявок с доработки направляет всем участникам отбора (заявителям) заявки на доработку с указанием оснований для их возврата. Участник отбора (заявитель) вправе (имеет возможность) доработать заявку, а также прилагаемые к заявке документы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установленный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объявлении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отборе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срок.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невозврате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доработанной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участником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отбора (заявителем) в установленный в объявлении об отборе срок, заявка отклоняется на этапе рассмотрения заявки.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2.4. Порядок рассмотрения заявок на предмет их соответствия установленным требованиям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Комиссия по отбору заявок (далее – Комиссия) не позднее 1 рабочего дня, следующего за днем вскрытия заявок, установленного в объявлении о проведении отбора, утверждает протокол вскрытия заявок, содержащий следующую информацию о поступивших для участия в отборе заявках: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а) регистрационный номер заявки;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б) дата и время поступления заявки;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в) полное и сокращенное наименование заявителя;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г) адрес юридического лица, адрес места жительства (для индивидуального предпринимателя);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д) запрашиваемый заявителем размер субсидии.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Протокол вскрытия заявок формируется автоматически на едином портале и подписывается усиленной квалифицированной электронной подписью председателя Комиссии и членов Комиссии в системе «Электронный бюджет».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Указанный протокол размещается на едином портале не позднее 1 рабочего дня, следующего за днем его подписания.</w:t>
      </w:r>
    </w:p>
    <w:p>
      <w:pPr>
        <w:pStyle w:val="26"/>
        <w:suppressLineNumbers w:val="0"/>
        <w:spacing w:before="0" w:after="0" w:line="312" w:lineRule="auto"/>
        <w:ind w:left="0" w:righ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Заявка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признается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надлежащей,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соответствует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требованиям,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указанным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объявлении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 проведении отбора, и при отсутствии оснований для отклонения заявки.</w:t>
      </w:r>
    </w:p>
    <w:p>
      <w:pPr>
        <w:pStyle w:val="26"/>
        <w:suppressLineNumbers w:val="0"/>
        <w:spacing w:before="0" w:after="0" w:line="312" w:lineRule="auto"/>
        <w:ind w:left="0" w:righ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принимает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соответствии/несоотвестствии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требованиям,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указанным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объявлении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 проведении отбора получателей субсидии, на даты получения результатов их проверки.</w:t>
      </w:r>
    </w:p>
    <w:p>
      <w:pPr>
        <w:pStyle w:val="26"/>
        <w:suppressLineNumbers w:val="0"/>
        <w:spacing w:before="0" w:after="0" w:line="312" w:lineRule="auto"/>
        <w:ind w:left="0" w:righ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заявок не позднее 1 рабочего дня со дня окончания срока их рассмотрения подготавливается протокол рассмотрения заявок, включающий информацию о количестве поступивших и рассмотренных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заявок,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каждому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признании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надлежащей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 отклонении его заявки с указанием оснований для отклонения.</w:t>
      </w:r>
    </w:p>
    <w:p>
      <w:pPr>
        <w:pStyle w:val="26"/>
        <w:suppressLineNumbers w:val="0"/>
        <w:spacing w:before="0" w:after="0" w:line="312" w:lineRule="auto"/>
        <w:ind w:left="0" w:righ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и членов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«Электронный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бюджет»,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размещается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рабочего дня, следующего за днем его подписания.</w:t>
      </w:r>
    </w:p>
    <w:p>
      <w:pPr>
        <w:pStyle w:val="26"/>
        <w:suppressLineNumbers w:val="0"/>
        <w:spacing w:before="0" w:after="0" w:line="312" w:lineRule="auto"/>
        <w:ind w:left="0" w:righ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полного,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всестороннего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объективного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организатор отбора вправе запросить у заявителя разъяснения в отношении документов и информации с использованием системы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«Электронный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бюджет»,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направляемый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равной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мере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всем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участникам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отбора получателей субсидии.</w:t>
      </w:r>
    </w:p>
    <w:p>
      <w:pPr>
        <w:pStyle w:val="26"/>
        <w:suppressLineNumbers w:val="0"/>
        <w:spacing w:before="0" w:after="0" w:line="312" w:lineRule="auto"/>
        <w:ind w:left="0" w:righ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Участник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(заявитель)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установленные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сроки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 использованием системы «Электронный бюджет».</w:t>
      </w:r>
    </w:p>
    <w:p>
      <w:pPr>
        <w:pStyle w:val="26"/>
        <w:suppressLineNumbers w:val="0"/>
        <w:spacing w:before="0" w:after="0" w:line="312" w:lineRule="auto"/>
        <w:ind w:left="0" w:righ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участник отбора (заявитель) не представил запрашиваемые документы и информацию в срок, установленный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запросом,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включается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протокол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заявок.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2.5. Порядок отклонения заявок</w:t>
      </w:r>
    </w:p>
    <w:p>
      <w:pPr>
        <w:pStyle w:val="26"/>
        <w:suppressLineNumbers w:val="0"/>
        <w:spacing w:before="0" w:after="0" w:line="276" w:lineRule="auto"/>
        <w:ind w:left="0" w:righ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Заявка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участника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(заявителя)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отклоняется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истечении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истечении установленного в объявлении об отборе срока их возврата с доработки.</w:t>
      </w:r>
    </w:p>
    <w:p>
      <w:pPr>
        <w:pStyle w:val="26"/>
        <w:suppressLineNumbers w:val="0"/>
        <w:spacing w:before="0" w:after="0" w:line="276" w:lineRule="auto"/>
        <w:ind w:left="0" w:righ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Основания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отклонения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заявки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стадии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заявки:</w:t>
      </w:r>
    </w:p>
    <w:p>
      <w:pPr>
        <w:pStyle w:val="26"/>
        <w:suppressLineNumbers w:val="0"/>
        <w:spacing w:before="0" w:after="0" w:line="276" w:lineRule="auto"/>
        <w:ind w:left="0" w:righ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несоответствие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участника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(заявителя)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требованиям,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указанным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объявлении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отборе;</w:t>
      </w:r>
    </w:p>
    <w:p>
      <w:pPr>
        <w:pStyle w:val="26"/>
        <w:suppressLineNumbers w:val="0"/>
        <w:spacing w:before="0" w:after="0" w:line="276" w:lineRule="auto"/>
        <w:ind w:left="0" w:righ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непредставление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(представление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полном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объеме)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объявлении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отборе;</w:t>
      </w:r>
    </w:p>
    <w:p>
      <w:pPr>
        <w:pStyle w:val="26"/>
        <w:suppressLineNumbers w:val="0"/>
        <w:spacing w:before="0" w:after="0" w:line="276" w:lineRule="auto"/>
        <w:ind w:left="0" w:righ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несоответствие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требованиям,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установленным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объявлении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>
        <w:rPr>
          <w:spacing w:val="-2"/>
          <w:sz w:val="28"/>
          <w:szCs w:val="28"/>
        </w:rPr>
        <w:t>отборе;</w:t>
      </w:r>
    </w:p>
    <w:p>
      <w:pPr>
        <w:pStyle w:val="26"/>
        <w:suppressLineNumbers w:val="0"/>
        <w:spacing w:before="0" w:after="0" w:line="276" w:lineRule="auto"/>
        <w:ind w:left="0" w:righ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установление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факта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недостоверности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информации,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содержащейся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документах,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составе </w:t>
      </w:r>
      <w:r>
        <w:rPr>
          <w:spacing w:val="-2"/>
          <w:sz w:val="28"/>
          <w:szCs w:val="28"/>
        </w:rPr>
        <w:t>заявки;</w:t>
      </w:r>
    </w:p>
    <w:p>
      <w:pPr>
        <w:pStyle w:val="26"/>
        <w:suppressLineNumbers w:val="0"/>
        <w:spacing w:before="0" w:after="0" w:line="276" w:lineRule="auto"/>
        <w:ind w:left="0" w:righ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подача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времени,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определенных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подачи. Основания для отклонения заявки заявителя на стадии оценки заявки:</w:t>
      </w:r>
    </w:p>
    <w:p>
      <w:pPr>
        <w:pStyle w:val="26"/>
        <w:suppressLineNumbers w:val="0"/>
        <w:spacing w:before="0" w:after="0" w:line="276" w:lineRule="auto"/>
        <w:ind w:left="0" w:righ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несоответствие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требованиям,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указанным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объявлении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отбора;</w:t>
      </w:r>
    </w:p>
    <w:p>
      <w:pPr>
        <w:pStyle w:val="26"/>
        <w:suppressLineNumbers w:val="0"/>
        <w:spacing w:before="0" w:after="0" w:line="276" w:lineRule="auto"/>
        <w:ind w:left="0" w:righ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установление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факта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недостоверности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информации,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содержащейся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документах,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составе </w:t>
      </w:r>
      <w:r>
        <w:rPr>
          <w:spacing w:val="-2"/>
          <w:sz w:val="28"/>
          <w:szCs w:val="28"/>
        </w:rPr>
        <w:t>заявки;</w:t>
      </w:r>
    </w:p>
    <w:p>
      <w:pPr>
        <w:pStyle w:val="26"/>
        <w:suppressLineNumbers w:val="0"/>
        <w:spacing w:before="0" w:after="0" w:line="276" w:lineRule="auto"/>
        <w:ind w:left="0" w:righ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набор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минимального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суммарного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количества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баллов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(25</w:t>
      </w:r>
      <w:r>
        <w:rPr>
          <w:spacing w:val="-2"/>
          <w:sz w:val="28"/>
          <w:szCs w:val="28"/>
        </w:rPr>
        <w:t xml:space="preserve"> баллов).</w:t>
      </w:r>
    </w:p>
    <w:p>
      <w:pPr>
        <w:pStyle w:val="26"/>
        <w:suppressLineNumbers w:val="0"/>
        <w:spacing w:before="0" w:after="0" w:line="276" w:lineRule="auto"/>
        <w:ind w:left="0" w:right="0" w:firstLine="709"/>
        <w:contextualSpacing w:val="0"/>
        <w:jc w:val="both"/>
        <w:rPr>
          <w:sz w:val="28"/>
          <w:szCs w:val="28"/>
          <w:highlight w:val="yellow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2.6. Основания для отклонения заявок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- Несоответствие представленных документов и (или) заявки требованиям</w:t>
      </w:r>
      <w:r>
        <w:rPr>
          <w:highlight w:val="none"/>
        </w:rPr>
        <w:t>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- Непредставление (представление не в полном объеме) документов.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- Недостоверность информации, содержащейся в документах</w:t>
      </w:r>
      <w:r>
        <w:rPr>
          <w:highlight w:val="none"/>
        </w:rPr>
        <w:t>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- Несоответствие участника отбора требованиям.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- Подача заявки после даты и (или) времени, определенных для ее подачи</w:t>
      </w:r>
      <w:r>
        <w:rPr>
          <w:highlight w:val="none"/>
        </w:rPr>
        <w:t>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2.7. Порядок предоставления участникам отбора разъяснений положений объявления о проведении отбора</w:t>
      </w:r>
    </w:p>
    <w:p>
      <w:pPr>
        <w:suppressLineNumbers w:val="0"/>
        <w:tabs>
          <w:tab w:val="left" w:pos="310"/>
        </w:tabs>
        <w:spacing w:before="0" w:after="0" w:line="276" w:lineRule="auto"/>
        <w:ind w:left="0" w:righ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Участник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(заявитель) со дня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объявления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 проведении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 (третьего) рабочего дня до дня завершения подачи заявок вправе направить Департаменту не более 5 (пяти) запросов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разъяснении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положений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объявления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отборе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«Электронный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бюджет» соответствующего запроса.</w:t>
      </w:r>
    </w:p>
    <w:p>
      <w:pPr>
        <w:pStyle w:val="26"/>
        <w:suppressLineNumbers w:val="0"/>
        <w:spacing w:before="0" w:after="0" w:line="276" w:lineRule="auto"/>
        <w:ind w:left="0" w:righ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ответ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запрос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направляет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разъяснение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положений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объявления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отборе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срок,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установленный указанным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объявлением,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рабочего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завершения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заявок,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 системе «Электронный бюджет» соответствующего разъяснения.</w:t>
      </w:r>
    </w:p>
    <w:p>
      <w:pPr>
        <w:pStyle w:val="26"/>
        <w:suppressLineNumbers w:val="0"/>
        <w:spacing w:before="0" w:after="0" w:line="276" w:lineRule="auto"/>
        <w:ind w:left="0" w:righ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организатором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обора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разъяснение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положений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объявления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должно изменять суть информации, содержащейся в указанном объявлении.</w:t>
      </w:r>
    </w:p>
    <w:p>
      <w:pPr>
        <w:pStyle w:val="26"/>
        <w:suppressLineNumbers w:val="0"/>
        <w:spacing w:before="0" w:after="0" w:line="276" w:lineRule="auto"/>
        <w:ind w:left="0" w:righ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Доступ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разъяснению,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формируемому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«Электронный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бюджет»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всем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заявителям.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2.8. Документация по отбору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Отсутствуют</w:t>
      </w:r>
      <w:r>
        <w:rPr>
          <w:highlight w:val="none"/>
        </w:rPr>
        <w:t>.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3. Критерии рассмотрения и оценки заявок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3.1. Перечень документов, предоставляемых для подтверждения соответствия требованиям</w:t>
      </w:r>
    </w:p>
    <w:p>
      <w:pPr>
        <w:pStyle w:val="208"/>
        <w:numPr>
          <w:ilvl w:val="0"/>
          <w:numId w:val="1"/>
        </w:numPr>
        <w:suppressLineNumbers w:val="0"/>
        <w:tabs>
          <w:tab w:val="left" w:pos="223"/>
        </w:tabs>
        <w:spacing w:before="0" w:after="0" w:line="276" w:lineRule="auto"/>
        <w:ind w:left="0" w:right="151" w:firstLine="6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 расходов на реализацию проекта с расходами на доставку, установку с приложением не менее 2 (двух)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коммерческих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печатью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(двух)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изображений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страниц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ценами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официальных сайтах поставщиков товаров и услуг в сети «Интернет» по форме сметы расходов, утвержденной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промышленности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Ханты-Мансийского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автономного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Югры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Департамент);</w:t>
      </w:r>
    </w:p>
    <w:p>
      <w:pPr>
        <w:pStyle w:val="208"/>
        <w:numPr>
          <w:ilvl w:val="0"/>
          <w:numId w:val="1"/>
        </w:numPr>
        <w:suppressLineNumbers w:val="0"/>
        <w:tabs>
          <w:tab w:val="left" w:pos="223"/>
        </w:tabs>
        <w:spacing w:before="0" w:after="0" w:line="276" w:lineRule="auto"/>
        <w:ind w:left="0" w:right="151" w:firstLine="6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бизнес-план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методическими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рекомендациями,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утвержденными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Департамента;</w:t>
      </w:r>
    </w:p>
    <w:p>
      <w:pPr>
        <w:pStyle w:val="208"/>
        <w:numPr>
          <w:ilvl w:val="0"/>
          <w:numId w:val="1"/>
        </w:numPr>
        <w:suppressLineNumbers w:val="0"/>
        <w:tabs>
          <w:tab w:val="left" w:pos="223"/>
        </w:tabs>
        <w:spacing w:before="0" w:after="0" w:line="276" w:lineRule="auto"/>
        <w:ind w:left="0" w:right="151" w:firstLine="6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Департамента;</w:t>
      </w:r>
    </w:p>
    <w:p>
      <w:pPr>
        <w:pStyle w:val="208"/>
        <w:numPr>
          <w:ilvl w:val="0"/>
          <w:numId w:val="1"/>
        </w:numPr>
        <w:suppressLineNumbers w:val="0"/>
        <w:tabs>
          <w:tab w:val="left" w:pos="223"/>
        </w:tabs>
        <w:spacing w:before="0" w:after="0" w:line="276" w:lineRule="auto"/>
        <w:ind w:left="0" w:right="151" w:firstLine="6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доверенности на осуществление действий от имени заявителя, подписанная руководителем (для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лица)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печатью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печати),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pacing w:val="-4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засвидетельствованная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нотариальном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доверенности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действует</w:t>
      </w:r>
      <w:r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лицо);</w:t>
      </w:r>
    </w:p>
    <w:p>
      <w:pPr>
        <w:pStyle w:val="208"/>
        <w:numPr>
          <w:ilvl w:val="0"/>
          <w:numId w:val="1"/>
        </w:numPr>
        <w:suppressLineNumbers w:val="0"/>
        <w:tabs>
          <w:tab w:val="left" w:pos="223"/>
        </w:tabs>
        <w:spacing w:before="0" w:after="0" w:line="276" w:lineRule="auto"/>
        <w:ind w:left="0" w:right="151" w:firstLine="6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форматах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pptx,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pdf)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рекомендациями,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pacing w:val="-4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Департамента;</w:t>
      </w:r>
    </w:p>
    <w:p>
      <w:pPr>
        <w:pStyle w:val="208"/>
        <w:numPr>
          <w:ilvl w:val="0"/>
          <w:numId w:val="1"/>
        </w:numPr>
        <w:suppressLineNumbers w:val="0"/>
        <w:tabs>
          <w:tab w:val="left" w:pos="223"/>
        </w:tabs>
        <w:spacing w:before="0" w:after="0" w:line="276" w:lineRule="auto"/>
        <w:ind w:left="0" w:right="151" w:firstLine="6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документации, в которую входят чертежи с указанием размера помещений, их планировки, схемы и карта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разработанная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обязательствам,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техническими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условиями,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 по некапитальному строительству, приобретению и установке модульных объектов некапитального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заводского производства;</w:t>
      </w:r>
    </w:p>
    <w:p>
      <w:pPr>
        <w:pStyle w:val="208"/>
        <w:numPr>
          <w:ilvl w:val="0"/>
          <w:numId w:val="1"/>
        </w:numPr>
        <w:suppressLineNumbers w:val="0"/>
        <w:tabs>
          <w:tab w:val="left" w:pos="223"/>
        </w:tabs>
        <w:spacing w:before="0" w:after="0" w:line="276" w:lineRule="auto"/>
        <w:ind w:left="0" w:right="151" w:firstLine="6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копия(и)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(ов)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туроператором(ами)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включению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объекта(ов)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туристской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индустрии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pacing w:val="-4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тура(ов) турператора(ов) с приложением программы продолжительностью не менее 2 (двух) дней либо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программа(ы) тура(ов) заявителя, являющегося туроператором, либо подтверждающие документы о том, что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отчетность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Федеральную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статистики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1‑КСР;</w:t>
      </w:r>
    </w:p>
    <w:p>
      <w:pPr>
        <w:pStyle w:val="208"/>
        <w:numPr>
          <w:ilvl w:val="0"/>
          <w:numId w:val="1"/>
        </w:numPr>
        <w:suppressLineNumbers w:val="0"/>
        <w:tabs>
          <w:tab w:val="left" w:pos="223"/>
        </w:tabs>
        <w:spacing w:before="0" w:after="0" w:line="276" w:lineRule="auto"/>
        <w:ind w:left="0" w:right="151" w:firstLine="6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правоустанавливающих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заявке,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4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Порядка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субсидии;</w:t>
      </w:r>
    </w:p>
    <w:p>
      <w:pPr>
        <w:pStyle w:val="208"/>
        <w:numPr>
          <w:ilvl w:val="0"/>
          <w:numId w:val="1"/>
        </w:numPr>
        <w:suppressLineNumbers w:val="0"/>
        <w:tabs>
          <w:tab w:val="left" w:pos="223"/>
        </w:tabs>
        <w:spacing w:before="0" w:after="0" w:line="276" w:lineRule="auto"/>
        <w:ind w:left="0" w:right="151" w:firstLine="6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положительного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достоверности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сметной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стоимости,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некапитальному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строительству;</w:t>
      </w:r>
    </w:p>
    <w:p>
      <w:pPr>
        <w:pStyle w:val="208"/>
        <w:numPr>
          <w:ilvl w:val="0"/>
          <w:numId w:val="1"/>
        </w:numPr>
        <w:suppressLineNumbers w:val="0"/>
        <w:tabs>
          <w:tab w:val="left" w:pos="223"/>
        </w:tabs>
        <w:spacing w:before="0" w:after="0" w:line="276" w:lineRule="auto"/>
        <w:ind w:left="0" w:right="151" w:firstLine="6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ФБУ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«Администрация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Обь-Иртышского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бассейна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внутренних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путей»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установке некапитальной нестационарной причальной инфраструктуры на внутренних водных путях Российской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Федерации;</w:t>
      </w:r>
    </w:p>
    <w:p>
      <w:pPr>
        <w:pStyle w:val="208"/>
        <w:numPr>
          <w:ilvl w:val="0"/>
          <w:numId w:val="1"/>
        </w:numPr>
        <w:suppressLineNumbers w:val="0"/>
        <w:tabs>
          <w:tab w:val="left" w:pos="223"/>
        </w:tabs>
        <w:spacing w:before="0" w:after="0" w:line="276" w:lineRule="auto"/>
        <w:ind w:left="0" w:right="151" w:firstLine="6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согласования органа местного самоуправления автономного округа для проектов, планируемых 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на земельных участках, собственником, которых является муниципальное образование автономного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округа, для мероприятий по созданию и (или) развитию пляжей на берегах рек, озер, водохранилищ или иных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водных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некапитальной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нестационарной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причальной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(указанным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пунктах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4.3 Порядка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субсидии);</w:t>
      </w:r>
    </w:p>
    <w:p>
      <w:pPr>
        <w:pStyle w:val="208"/>
        <w:numPr>
          <w:ilvl w:val="0"/>
          <w:numId w:val="1"/>
        </w:numPr>
        <w:suppressLineNumbers w:val="0"/>
        <w:tabs>
          <w:tab w:val="left" w:pos="223"/>
        </w:tabs>
        <w:spacing w:before="0" w:after="0" w:line="276" w:lineRule="auto"/>
        <w:ind w:left="0" w:right="151" w:firstLine="6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разрешительного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поверхностными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водными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частями в соответствии с статьей 11 Водного кодекса Российской Федерации, за исключением случаев,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Водного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 4.3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субсидии;</w:t>
      </w:r>
    </w:p>
    <w:p>
      <w:pPr>
        <w:pStyle w:val="208"/>
        <w:numPr>
          <w:ilvl w:val="0"/>
          <w:numId w:val="1"/>
        </w:numPr>
        <w:suppressLineNumbers w:val="0"/>
        <w:tabs>
          <w:tab w:val="left" w:pos="223"/>
        </w:tabs>
        <w:spacing w:before="0" w:after="0" w:line="276" w:lineRule="auto"/>
        <w:ind w:left="0" w:right="151" w:firstLine="6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просроченной задолженности по возврату в бюджет Ханты-Мансийского автономного округа - Югры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субсидий,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инвестиций,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просроченной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(неурегулированной)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денежным</w:t>
      </w:r>
      <w:r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обязательствам перед Ханты-Мансийским автономным округом - Югрой по форме Департамента финансов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автономного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округа;</w:t>
      </w:r>
    </w:p>
    <w:p>
      <w:pPr>
        <w:pStyle w:val="208"/>
        <w:numPr>
          <w:ilvl w:val="0"/>
          <w:numId w:val="1"/>
        </w:numPr>
        <w:suppressLineNumbers w:val="0"/>
        <w:tabs>
          <w:tab w:val="left" w:pos="223"/>
        </w:tabs>
        <w:spacing w:before="0" w:after="0" w:line="276" w:lineRule="auto"/>
        <w:ind w:left="0" w:right="151" w:firstLine="6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осуществление Департаментом и органами государственного финансового контроля проверок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получателем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целей,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Департамента;</w:t>
      </w:r>
    </w:p>
    <w:p>
      <w:pPr>
        <w:pStyle w:val="208"/>
        <w:numPr>
          <w:ilvl w:val="0"/>
          <w:numId w:val="1"/>
        </w:numPr>
        <w:suppressLineNumbers w:val="0"/>
        <w:tabs>
          <w:tab w:val="left" w:pos="223"/>
        </w:tabs>
        <w:spacing w:before="0" w:after="0" w:line="276" w:lineRule="auto"/>
        <w:ind w:left="0" w:right="151" w:firstLine="6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обработку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форме, утвержденной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Департамента.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3.2. Требования к участникам отбора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 xml:space="preserve">- Отсутствует просроченная (неурегулированная) задолженность по денежным обязательствам перед публично - правовым образованием, из бюджета которого планируется предоставление субсидии. 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- Участник отбора не является российским юридическим лицом, в уставном (складочном) капитале которого доля прямого или косвенного (через третьих лиц)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в совокупности превышает 25 процентов (если иное не предусмотрено законодательством Российской Федерации)</w:t>
      </w:r>
      <w:r>
        <w:rPr>
          <w:highlight w:val="none"/>
        </w:rPr>
        <w:t>.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- Участник отбора не должен получать средства из федерального бюджета (бюджета субъекта Российской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Федерации, местного бюджета), из которого планируется предоставление субсидии,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актов), решений о порядке предоставления субсидии на цели, установленные решением о порядке предоставления субсидии, в целях определения получателей которой проводится отбор получателей субсидий</w:t>
      </w:r>
      <w:r>
        <w:rPr>
          <w:highlight w:val="none"/>
        </w:rPr>
        <w:t>.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-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</w:t>
      </w:r>
      <w:r>
        <w:rPr>
          <w:highlight w:val="none"/>
        </w:rPr>
        <w:t>.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- Участник отбора (получатель субсидии) не находится перечне организаций и физических лиц, связанных с террористическими организациями и террористами, составляемом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</w:t>
      </w:r>
      <w:r>
        <w:rPr>
          <w:highlight w:val="none"/>
        </w:rPr>
        <w:t>.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- Участник отбора (получатель субсидии) не находится перечне организаций и физических лиц, связанных с распространением оружия массового уничтожения, составляемом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ООН.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- Участник отбора не является иностранным юридическим лицом, в том числе местом регистрации которого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</w:t>
      </w:r>
      <w:r>
        <w:rPr>
          <w:highlight w:val="none"/>
        </w:rPr>
        <w:t>.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- Участник отбора имеет статус налогового резидента Российской Федерации</w:t>
      </w:r>
      <w:r>
        <w:rPr>
          <w:highlight w:val="none"/>
        </w:rPr>
        <w:t>.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-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лица).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- Участник отбора - юридическое лицо не проходит процедуру ликвидации.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- В отношении участника отбора - юридического лица не введена процедура банкротства.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- Деятельность участника отбора - юридического лица не приостановлена в порядке, предусмотренном законодательством Российской Федерации</w:t>
      </w:r>
      <w:r>
        <w:rPr>
          <w:highlight w:val="none"/>
        </w:rPr>
        <w:t>.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- Деятельность участника отбора - индивидуального предпринимателя не прекращена в качестве индивидуального предпринимателя в порядке, предусмотренном законодательством Российской Федерации</w:t>
      </w:r>
      <w:r>
        <w:rPr>
          <w:highlight w:val="none"/>
        </w:rPr>
        <w:t>.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- В реестре дисквалифицированных лиц отсутствуют сведения о дисквалифицированном руководителе участника отбора, являющегося юридическим лицом</w:t>
      </w:r>
      <w:r>
        <w:rPr>
          <w:highlight w:val="none"/>
        </w:rPr>
        <w:t>.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- В реестре дисквалифицированных лиц отсутствуют сведения о дисквалифицированных членах коллегиального исполнительного органа/лице, исполняющем обязанности единоличного исполнителя органа участника отбора, являющегося юридическим лицом</w:t>
      </w:r>
      <w:r>
        <w:rPr>
          <w:highlight w:val="none"/>
        </w:rPr>
        <w:t>.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- В реестре дисквалифицированных лиц отсутствуют сведения о дисквалифицированном главном бухгалтере участника отбора, являющегося юридическим лицом.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- В реестре дисквалифицированных лиц отсутствуют сведения о дисквалифицированном индивидуальном предпринимателе</w:t>
      </w:r>
      <w:r>
        <w:rPr>
          <w:highlight w:val="none"/>
        </w:rPr>
        <w:t>.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- Участник отбора обладает кадровым составом, необходимым для достижения результатов предоставления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субсидии</w:t>
      </w:r>
      <w:r>
        <w:rPr>
          <w:highlight w:val="none"/>
        </w:rPr>
        <w:t>.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- Участник отбора зарегистрирован на территории Российской Федерации в соответствии с законодательством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Российской Федерации</w:t>
      </w:r>
      <w:r>
        <w:rPr>
          <w:highlight w:val="none"/>
        </w:rPr>
        <w:t>.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- В отношении участника отбора - индивидуального предпринимателя не введена процедура банкротства</w:t>
      </w:r>
      <w:r>
        <w:rPr>
          <w:highlight w:val="none"/>
        </w:rPr>
        <w:t>.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- Участник отбора предоставил весь требуемый перечень документов, необходимых для подтверждения соответствия участника отбора требованиям</w:t>
      </w:r>
      <w:r>
        <w:rPr>
          <w:highlight w:val="none"/>
        </w:rPr>
        <w:t>.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- Заявитель должен осуществлять деятельность на территории автономного округа в соответствии со следующими видами и группировками экономической деятельности согласно Общероссийскому классификатору видов экономической деятельности ОК 029-2014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br w:type="textWrapping"/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(КДЕС РЕД. 2), утвержденному приказом Федерального агентства по техническому регулированию и метрологии от 31 января 2014 года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br w:type="textWrapping"/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 xml:space="preserve">№ 14-ст: 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 xml:space="preserve">55.1 Деятельность гостиниц и прочих мест для временного проживания. 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 xml:space="preserve">55.2 Деятельность по предоставлению мест для краткосрочного проживания. 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56.10.1 Деятельность ресторанов и кафе с полным обслуживанием, кафетериев, ресторанов быстрого питания и самообслуживания.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 xml:space="preserve">77.21 Прокат и аренда товаров для отдыха и спортивных товаров. 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 xml:space="preserve">79 Деятельность туристических агентств и прочих организаций, предоставляющих услуги в сфере туризма. 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86.90.4 Деятельность санаторно-курортных организаций.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 xml:space="preserve">- Заявитель должен иметь на праве владения либо аренды, либо пользования земельный участок, на котором планируется реализация проекта, в соответствии с мероприятиями: 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1) обустройство пляжа в соответствии с требованиями национального стандарта Российской Федерации ГОСТ Р 55698-2013 «Туристские услуги. Услуги пляжей. Общие требования», введенного в действие приказом Росстандарта от 8 ноября 2013 года № 1345-ст, за исключением берегозащитных, противооползневых и других защитных мероприятий, а также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 xml:space="preserve">мероприятий по очистке дна акватории; 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 xml:space="preserve">2) обустройство детских и спортивных зон отдыха; 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3) создание пунктов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 xml:space="preserve">общественного питания (некапитальное строительство); 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 xml:space="preserve">4) установка или обустройство туристских информационных центров (формы некапитального строительства); 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 xml:space="preserve">5) приобретение и установка санитарных модулей; 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 xml:space="preserve">6) организация круглогодичного функционирования и расширение доступности плавательных бассейнов, в том числе приобретение систем подогрева, теплообменных устройств, а также приобретение мобильных погружных устройств для лиц с ограниченными возможностями здоровья; 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 xml:space="preserve">7) создание и развитие доступной туристской среды для лиц с ограниченными возможностями здоровья, стимулирование развития инклюзивного туризма, в том числе оборудование пандусов, подъемников, адаптационные работы и иные мероприятия по созданию безбарьерной среды, среды для лиц с ограниченными возможностями здоровья по зрению и слуху; 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8) создание некапитальной нестационарной причальной инфраструктуры.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- Отсутствие у заявителя на едином налоговом счете или не превышение размера, определенный пунктом 3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</w:t>
      </w:r>
    </w:p>
    <w:p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3.3. Информация о критериях и порядке оценки заявок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  <w:lang w:val="ru-RU"/>
        </w:rPr>
        <w:t>Проект способствует увеличению значения показателя «Число туристских поездок»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Шкала оценок: 0-100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Тип шкалы оценки: Список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Весовое значение: 0,10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Подтверждающий документ: Заявление на участие в отборе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Методология оценки: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Проект не способствует увеличению значения показателя «Число туристских поездок» - 0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Проект способствует увеличению значения показателя «Число туристских поездок» на 500 человек в год – 10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Проект способствует увеличению значения показателя «Число туристских поездок» от 501 до 1000 человек в год – 20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Проект способствует увеличению значения показателя «Число туристских поездок» от 1001 до 1500 человек в год –30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Проект способствует увеличению значения показателя «Число туристских поездок» от 1501 до 2000 человек в год – 40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Проект способствует увеличению значения показателя «Число туристских поездок» от 2001 до 2500 человек в год – 50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Проект способствует увеличению значения показателя «Число туристских поездок» от 2501 до 3000 человек в год – 60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Проект способствует увеличению значения показателя «Число туристских поездок» от 3001 до 3500 человек в год – 70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Проект способствует увеличению значения показателя «Число туристских поездок» от 3501 до 4000 человек в год – 80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Проект способствует увеличению значения показателя «Число туристских поездок» от 4001 до 4500 человек в год – 90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Проект способствует увеличению значения показателя «Число туристских поездок» от 4501 и более человек в год – 100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  <w:lang w:val="ru-RU"/>
        </w:rPr>
        <w:t>Проект направлен на создание или развитие национального туристского маршрута Ханты-Мансийского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автономного округа - Югры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Шкала оценок: 0-100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Тип шкалы оценки: Список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Весовое значение: 0,10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Подтверждающий документ: Бизнес-план проекта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Методология оценки: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Проект направлен на создание или развитие национального туристского маршрута Ханты-Мансийского автономного округа - Югры - 100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Проект не направлен на создание или развитие национального туристского маршрута Ханты-Мансийского автономного округа - Югры - 0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  <w:lang w:val="ru-RU"/>
        </w:rPr>
        <w:t>Срок окупаемости проекта (без учета субсидии)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Шкала оценок: 0-100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Тип шкалы оценки: Список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Весовое значение: 0,10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Подтверждающий документ: Паспорт проекта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Методология оценки: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Срок окупаемости проекта (без учета субсидии):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не указан - 0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более 5 лет – 40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от 3 до 5 лет – 70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до 3 лет – 100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  <w:lang w:val="ru-RU"/>
        </w:rPr>
        <w:t>Транспортная доступность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Шкала оценок: 0-100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Тип шкалы оценки: Список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Весовое значение: 0,10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Подтверждающий документ: Паспорт проекта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Методология оценки: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Транспортная доступность от населенного пункта либо от объекта туристического притяжения  к предусмотренному проекту от населенного пункта либо от объекта туристического притяжения не указана - 0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расстояние до автомобильной дороги с твердым покрытием более 50 км – 40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расстояние до автомобильной дороги с твердым покрытием до 50 км – 70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наличие автомобильной дороги автомобильной дороги с твердым покрытием до 50 км – 100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  <w:lang w:val="ru-RU"/>
        </w:rPr>
        <w:t>Соответствие опыта и компетенций команды проекта заявленному направлению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Шкала оценок: 0-100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Тип шкалы оценки: Список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Весовое значение: 0,10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Подтверждающий документ: Паспорт проекта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Методология оценки: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Информация об опыте и компетенциях команды проекта не указана - 0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Информация об опыте и компетенциях команды проекта указана, но не соответствует заявленному направлению – 30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Информация об опыте и компетенциях команды проекта указана и соответствует заявленному направлению – 100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  <w:lang w:val="ru-RU"/>
        </w:rPr>
        <w:t>Опыт реализации проектов в сфере туризма заявителем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Шкала оценок: 0-100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Тип шкалы оценки: Список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Весовое значение: 0,10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Подтверждающий документ: Паспорт проекта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Методология оценки: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Информация об опыте реализации заявителем проектов в сфере туризма не не указана - 0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Указано наличие опыта реализации проектов в сфере туризма специалистов команды – 50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Указано наличие опыта реализации проектов в сфере туризма руководителя команды – 100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  <w:lang w:val="ru-RU"/>
        </w:rPr>
        <w:t>Обоснованность и реалистичность бюджета проекта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Шкала оценок: 0-100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Тип шкалы оценки: Список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Весовое значение: 0,10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Подтверждающий документ: Бизнес-план проекта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Методология оценки: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Обоснованность проекта не отражена - 0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Проект обоснован, но нереалистичен (отсутствует инфраструктура для реализации проекта либо несоответствие реализуемых мероприятий конъюнктуре туристского рынка проекта – 40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Проект обоснован и реалистичен (наличие либо создание инфраструктуры для реализации проекта, реализуемые мероприятия соответствуют конъюнктуре туристского рынка проекта – 100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  <w:lang w:val="ru-RU"/>
        </w:rPr>
        <w:t>Наличие плана развития проекта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Шкала оценок: 0-100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Тип шкалы оценки: Список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Весовое значение: 0,10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Подтверждающий документ: Бизнес-план проекта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Методология оценки: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План дальнейшего развития проекта отсутствует - 0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План дальнейшего развития проекта основан только на существующей инфраструктуре и туристских услугах – 50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План дальнейшего развития проекта основан на создании новых объектов инфраструктуры и туристских услуг – 100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  <w:lang w:val="ru-RU"/>
        </w:rPr>
        <w:t>Наличие действующих сайта, аккаунта в социальных сетях заявителя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Шкала оценок: 0-100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Тип шкалы оценки: Список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Весовое значение: 0,10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Подтверждающий документ: Паспорт проекта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Методология оценки: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Сайт и аккаунты в социальных сетях заявителя отсутствуют - 0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Наличие действующих сайта либо аккаунта в социальных сетях заявителя - 50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Наличие действующих сайта и аккаунта в социальных сетях заявителя – 100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  <w:lang w:val="ru-RU"/>
        </w:rPr>
        <w:t>Проект направлен на всесезонное предложение услуг на туристском рынке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Шкала оценок: 0-100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Тип шкалы оценки: Список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Весовое значение: 0,10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Подтверждающий документ: Паспорт проекта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Методология оценки: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Сезонность предложения услуг на туристском рынке не указана - 0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Предполагает сезонность предложения услуг на туристском рынке – 50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Предложение услуг на туристском рынке является всесезонным – 100 баллов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3.4. Дополнительная информация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276" w:lineRule="auto"/>
        <w:ind w:left="0" w:right="0" w:firstLine="709"/>
        <w:jc w:val="both"/>
        <w:rPr>
          <w:rFonts w:ascii="Times New Roman" w:hAnsi="Times New Roman" w:eastAsia="Times New Roman" w:cs="Times New Roman"/>
          <w:b/>
          <w:bCs/>
          <w:color w:val="auto"/>
          <w:highlight w:val="white"/>
          <w14:ligatures w14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>Отсутствует</w:t>
      </w:r>
      <w:r>
        <w:rPr>
          <w:rFonts w:ascii="Times New Roman" w:hAnsi="Times New Roman" w:cs="Times New Roman"/>
          <w:sz w:val="28"/>
          <w:szCs w:val="28"/>
          <w:highlight w:val="white"/>
        </w:rPr>
        <w:t>».</w:t>
      </w:r>
    </w:p>
    <w:p>
      <w:pPr>
        <w:ind w:firstLine="709"/>
        <w:rPr>
          <w:highlight w:val="white"/>
        </w:rPr>
      </w:pPr>
    </w:p>
    <w:p>
      <w:pPr>
        <w:ind w:firstLine="709"/>
        <w:rPr>
          <w:highlight w:val="white"/>
        </w:rPr>
      </w:pPr>
    </w:p>
    <w:p>
      <w:pPr>
        <w:ind w:firstLine="709"/>
        <w:rPr>
          <w:highlight w:val="white"/>
        </w:rPr>
      </w:pPr>
    </w:p>
    <w:p>
      <w:pPr>
        <w:ind w:firstLine="709"/>
        <w:rPr>
          <w:highlight w:val="white"/>
        </w:rPr>
      </w:pPr>
    </w:p>
    <w:p>
      <w:pPr>
        <w:ind w:firstLine="709"/>
        <w:rPr>
          <w:highlight w:val="white"/>
        </w:rPr>
      </w:pPr>
    </w:p>
    <w:sectPr>
      <w:headerReference r:id="rId4" w:type="default"/>
      <w:pgSz w:w="11906" w:h="16838"/>
      <w:pgMar w:top="1276" w:right="1276" w:bottom="1134" w:left="1559" w:header="0" w:footer="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ngal">
    <w:altName w:val="Cambria Math"/>
    <w:panose1 w:val="02040503050406030204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jc w:val="center"/>
    </w:pPr>
  </w:p>
  <w:sdt>
    <w:sdtPr>
      <w:id w:val="1231557407"/>
      <w:docPartObj>
        <w:docPartGallery w:val="AutoText"/>
      </w:docPartObj>
    </w:sdtPr>
    <w:sdtContent>
      <w:p>
        <w:pPr>
          <w:pStyle w:val="23"/>
          <w:jc w:val="center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>7</w:t>
        </w:r>
        <w:r>
          <w:fldChar w:fldCharType="end"/>
        </w:r>
      </w:p>
      <w:p>
        <w:pPr>
          <w:pStyle w:val="2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100" w:hanging="123"/>
      </w:pPr>
      <w:rPr>
        <w:rFonts w:hint="default" w:ascii="Times New Roman" w:hAnsi="Times New Roman" w:eastAsia="Times New Roman" w:cs="Times New Roman"/>
        <w:sz w:val="28"/>
        <w:szCs w:val="21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8" w:hanging="12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16" w:hanging="1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4" w:hanging="1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2" w:hanging="1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90" w:hanging="1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48" w:hanging="1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6" w:hanging="1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64" w:hanging="1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A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100" w:after="100"/>
    </w:pPr>
    <w:rPr>
      <w:rFonts w:hint="default" w:ascii="Times New Roman" w:hAnsi="Times New Roman" w:eastAsia="Arial" w:cs="Courier New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42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43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4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5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6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7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8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9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footnote reference"/>
    <w:basedOn w:val="11"/>
    <w:unhideWhenUsed/>
    <w:qFormat/>
    <w:uiPriority w:val="99"/>
    <w:rPr>
      <w:vertAlign w:val="superscript"/>
    </w:rPr>
  </w:style>
  <w:style w:type="character" w:styleId="15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6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7">
    <w:name w:val="Strong"/>
    <w:qFormat/>
    <w:uiPriority w:val="0"/>
    <w:rPr>
      <w:b/>
    </w:rPr>
  </w:style>
  <w:style w:type="paragraph" w:styleId="18">
    <w:name w:val="Balloon Text"/>
    <w:basedOn w:val="1"/>
    <w:semiHidden/>
    <w:unhideWhenUsed/>
    <w:qFormat/>
    <w:uiPriority w:val="99"/>
    <w:rPr>
      <w:rFonts w:ascii="Tahoma" w:hAnsi="Tahoma" w:cs="Mangal"/>
      <w:sz w:val="16"/>
      <w:szCs w:val="14"/>
    </w:rPr>
  </w:style>
  <w:style w:type="paragraph" w:styleId="19">
    <w:name w:val="endnote text"/>
    <w:basedOn w:val="1"/>
    <w:link w:val="186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0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</w:rPr>
  </w:style>
  <w:style w:type="paragraph" w:styleId="21">
    <w:name w:val="footnote text"/>
    <w:basedOn w:val="1"/>
    <w:link w:val="185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2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3">
    <w:name w:val="header"/>
    <w:basedOn w:val="1"/>
    <w:unhideWhenUsed/>
    <w:qFormat/>
    <w:uiPriority w:val="9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24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5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6">
    <w:name w:val="Body Text"/>
    <w:basedOn w:val="1"/>
    <w:qFormat/>
    <w:uiPriority w:val="0"/>
    <w:pPr>
      <w:spacing w:before="0" w:after="140" w:line="276" w:lineRule="auto"/>
    </w:pPr>
  </w:style>
  <w:style w:type="paragraph" w:styleId="27">
    <w:name w:val="index heading"/>
    <w:basedOn w:val="1"/>
    <w:next w:val="28"/>
    <w:qFormat/>
    <w:uiPriority w:val="0"/>
    <w:pPr>
      <w:suppressLineNumbers/>
    </w:pPr>
    <w:rPr>
      <w:rFonts w:cs="Arial"/>
    </w:rPr>
  </w:style>
  <w:style w:type="paragraph" w:styleId="28">
    <w:name w:val="index 1"/>
    <w:basedOn w:val="1"/>
    <w:next w:val="1"/>
    <w:semiHidden/>
    <w:unhideWhenUsed/>
    <w:uiPriority w:val="99"/>
  </w:style>
  <w:style w:type="paragraph" w:styleId="2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30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31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32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33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34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35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6">
    <w:name w:val="Title"/>
    <w:basedOn w:val="1"/>
    <w:next w:val="1"/>
    <w:link w:val="51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7">
    <w:name w:val="footer"/>
    <w:basedOn w:val="1"/>
    <w:unhideWhenUsed/>
    <w:qFormat/>
    <w:uiPriority w:val="9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38">
    <w:name w:val="List"/>
    <w:basedOn w:val="26"/>
    <w:qFormat/>
    <w:uiPriority w:val="0"/>
    <w:rPr>
      <w:rFonts w:cs="Arial"/>
    </w:rPr>
  </w:style>
  <w:style w:type="paragraph" w:styleId="39">
    <w:name w:val="Subtitle"/>
    <w:basedOn w:val="1"/>
    <w:next w:val="1"/>
    <w:link w:val="52"/>
    <w:qFormat/>
    <w:uiPriority w:val="11"/>
    <w:pPr>
      <w:spacing w:before="200" w:after="200"/>
    </w:pPr>
    <w:rPr>
      <w:sz w:val="24"/>
      <w:szCs w:val="24"/>
    </w:rPr>
  </w:style>
  <w:style w:type="table" w:styleId="40">
    <w:name w:val="Table Grid"/>
    <w:basedOn w:val="12"/>
    <w:qFormat/>
    <w:uiPriority w:val="39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1">
    <w:name w:val="Heading 1 Char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42">
    <w:name w:val="Heading 2 Char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43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44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5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6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7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8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9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50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HAnsi" w:cstheme="minorBidi"/>
      <w:szCs w:val="22"/>
      <w:lang w:val="ru-RU" w:eastAsia="en-US" w:bidi="ar-SA"/>
    </w:rPr>
  </w:style>
  <w:style w:type="character" w:customStyle="1" w:styleId="51">
    <w:name w:val="Title Char"/>
    <w:basedOn w:val="11"/>
    <w:link w:val="36"/>
    <w:uiPriority w:val="10"/>
    <w:rPr>
      <w:sz w:val="48"/>
      <w:szCs w:val="48"/>
    </w:rPr>
  </w:style>
  <w:style w:type="character" w:customStyle="1" w:styleId="52">
    <w:name w:val="Subtitle Char"/>
    <w:basedOn w:val="11"/>
    <w:link w:val="39"/>
    <w:uiPriority w:val="11"/>
    <w:rPr>
      <w:sz w:val="24"/>
      <w:szCs w:val="24"/>
    </w:rPr>
  </w:style>
  <w:style w:type="paragraph" w:styleId="53">
    <w:name w:val="Quote"/>
    <w:basedOn w:val="1"/>
    <w:next w:val="1"/>
    <w:link w:val="54"/>
    <w:qFormat/>
    <w:uiPriority w:val="29"/>
    <w:pPr>
      <w:ind w:left="720" w:right="720"/>
    </w:pPr>
    <w:rPr>
      <w:i/>
    </w:rPr>
  </w:style>
  <w:style w:type="character" w:customStyle="1" w:styleId="54">
    <w:name w:val="Quote Char"/>
    <w:link w:val="53"/>
    <w:uiPriority w:val="29"/>
    <w:rPr>
      <w:i/>
    </w:rPr>
  </w:style>
  <w:style w:type="paragraph" w:styleId="55">
    <w:name w:val="Intense Quote"/>
    <w:basedOn w:val="1"/>
    <w:next w:val="1"/>
    <w:link w:val="56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6">
    <w:name w:val="Intense Quote Char"/>
    <w:link w:val="55"/>
    <w:qFormat/>
    <w:uiPriority w:val="30"/>
    <w:rPr>
      <w:i/>
    </w:rPr>
  </w:style>
  <w:style w:type="character" w:customStyle="1" w:styleId="57">
    <w:name w:val="Header Char"/>
    <w:basedOn w:val="11"/>
    <w:qFormat/>
    <w:uiPriority w:val="99"/>
  </w:style>
  <w:style w:type="character" w:customStyle="1" w:styleId="58">
    <w:name w:val="Footer Char"/>
    <w:basedOn w:val="11"/>
    <w:qFormat/>
    <w:uiPriority w:val="99"/>
  </w:style>
  <w:style w:type="character" w:customStyle="1" w:styleId="59">
    <w:name w:val="Caption Char"/>
    <w:qFormat/>
    <w:uiPriority w:val="99"/>
  </w:style>
  <w:style w:type="table" w:customStyle="1" w:styleId="60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3">
    <w:name w:val="Plain Table 3"/>
    <w:basedOn w:val="12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4">
    <w:name w:val="Plain Table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5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6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7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8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9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70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71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72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73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4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5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6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7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8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9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0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1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82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3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4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5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6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7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8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9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90">
    <w:name w:val="Grid Table 4 -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91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2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3">
    <w:name w:val="Grid Table 4 - Accent 6"/>
    <w:basedOn w:val="1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4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5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6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7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8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9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100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101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2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4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5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6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7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8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9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0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1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12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3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4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5">
    <w:name w:val="List Table 1 Light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7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8">
    <w:name w:val="List Table 1 Light - Accent 3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9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20">
    <w:name w:val="List Table 1 Light - Accent 5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21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22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3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4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5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6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7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8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9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30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31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32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33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4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5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6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7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8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9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40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41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42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43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4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5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6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7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8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9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50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51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2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3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8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9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0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2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3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4">
    <w:name w:val="Lined - Accent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5">
    <w:name w:val="Lined - Accent 1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6">
    <w:name w:val="Lined - Accent 2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7">
    <w:name w:val="Lined - Accent 3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8">
    <w:name w:val="Lined - Accent 4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9">
    <w:name w:val="Lined - Accent 5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0">
    <w:name w:val="Lined - Accent 6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1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2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73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4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5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6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7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8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9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80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81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82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83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4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5">
    <w:name w:val="Footnote Text Char"/>
    <w:link w:val="21"/>
    <w:qFormat/>
    <w:uiPriority w:val="99"/>
    <w:rPr>
      <w:sz w:val="18"/>
    </w:rPr>
  </w:style>
  <w:style w:type="character" w:customStyle="1" w:styleId="186">
    <w:name w:val="Endnote Text Char"/>
    <w:link w:val="19"/>
    <w:qFormat/>
    <w:uiPriority w:val="99"/>
    <w:rPr>
      <w:sz w:val="20"/>
    </w:rPr>
  </w:style>
  <w:style w:type="paragraph" w:customStyle="1" w:styleId="187">
    <w:name w:val="TOC Heading"/>
    <w:unhideWhenUsed/>
    <w:uiPriority w:val="39"/>
    <w:rPr>
      <w:rFonts w:hint="default" w:asciiTheme="minorHAnsi" w:hAnsiTheme="minorHAnsi" w:eastAsiaTheme="minorHAnsi" w:cstheme="minorBidi"/>
      <w:szCs w:val="22"/>
      <w:lang w:val="ru-RU" w:eastAsia="en-US" w:bidi="ar-SA"/>
    </w:rPr>
  </w:style>
  <w:style w:type="character" w:customStyle="1" w:styleId="188">
    <w:name w:val="Текст выноски Знак"/>
    <w:basedOn w:val="11"/>
    <w:semiHidden/>
    <w:qFormat/>
    <w:uiPriority w:val="99"/>
    <w:rPr>
      <w:rFonts w:ascii="Tahoma" w:hAnsi="Tahoma" w:eastAsia="Times New Roman" w:cs="Mangal"/>
      <w:color w:val="000000"/>
      <w:sz w:val="16"/>
      <w:szCs w:val="14"/>
      <w:lang w:eastAsia="ru-RU" w:bidi="hi-IN"/>
    </w:rPr>
  </w:style>
  <w:style w:type="character" w:customStyle="1" w:styleId="189">
    <w:name w:val="Верхний колонтитул Знак"/>
    <w:basedOn w:val="11"/>
    <w:qFormat/>
    <w:uiPriority w:val="99"/>
    <w:rPr>
      <w:rFonts w:ascii="Times New Roman" w:hAnsi="Times New Roman" w:eastAsia="Times New Roman" w:cs="Mangal"/>
      <w:color w:val="000000"/>
      <w:sz w:val="24"/>
      <w:szCs w:val="21"/>
      <w:lang w:eastAsia="ru-RU" w:bidi="hi-IN"/>
    </w:rPr>
  </w:style>
  <w:style w:type="character" w:customStyle="1" w:styleId="190">
    <w:name w:val="Нижний колонтитул Знак"/>
    <w:basedOn w:val="11"/>
    <w:qFormat/>
    <w:uiPriority w:val="99"/>
    <w:rPr>
      <w:rFonts w:ascii="Times New Roman" w:hAnsi="Times New Roman" w:eastAsia="Times New Roman" w:cs="Mangal"/>
      <w:color w:val="000000"/>
      <w:sz w:val="24"/>
      <w:szCs w:val="21"/>
      <w:lang w:eastAsia="ru-RU" w:bidi="hi-IN"/>
    </w:rPr>
  </w:style>
  <w:style w:type="character" w:customStyle="1" w:styleId="191">
    <w:name w:val="ListLabel 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192">
    <w:name w:val="Интернет-ссылка"/>
    <w:qFormat/>
    <w:uiPriority w:val="0"/>
    <w:rPr>
      <w:color w:val="000080"/>
      <w:u w:val="single"/>
    </w:rPr>
  </w:style>
  <w:style w:type="character" w:customStyle="1" w:styleId="193">
    <w:name w:val="ListLabel 2"/>
    <w:qFormat/>
    <w:uiPriority w:val="0"/>
    <w:rPr>
      <w:rFonts w:cs="Times New Roman" w:eastAsiaTheme="minorEastAsia"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customStyle="1" w:styleId="194">
    <w:name w:val="ListLabel 3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195">
    <w:name w:val="ListLabel 4"/>
    <w:qFormat/>
    <w:uiPriority w:val="0"/>
    <w:rPr>
      <w:rFonts w:cs="Times New Roman" w:eastAsiaTheme="minorEastAsia"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customStyle="1" w:styleId="196">
    <w:name w:val="CITE"/>
    <w:qFormat/>
    <w:uiPriority w:val="0"/>
    <w:rPr>
      <w:i/>
    </w:rPr>
  </w:style>
  <w:style w:type="character" w:customStyle="1" w:styleId="197">
    <w:name w:val="CODE"/>
    <w:qFormat/>
    <w:uiPriority w:val="0"/>
    <w:rPr>
      <w:rFonts w:ascii="Courier New" w:hAnsi="Courier New"/>
      <w:sz w:val="20"/>
    </w:rPr>
  </w:style>
  <w:style w:type="character" w:customStyle="1" w:styleId="198">
    <w:name w:val="Keyboard"/>
    <w:qFormat/>
    <w:uiPriority w:val="0"/>
    <w:rPr>
      <w:rFonts w:ascii="Courier New" w:hAnsi="Courier New"/>
      <w:b/>
      <w:sz w:val="20"/>
    </w:rPr>
  </w:style>
  <w:style w:type="character" w:customStyle="1" w:styleId="199">
    <w:name w:val="Sample"/>
    <w:qFormat/>
    <w:uiPriority w:val="0"/>
    <w:rPr>
      <w:rFonts w:ascii="Courier New" w:hAnsi="Courier New"/>
    </w:rPr>
  </w:style>
  <w:style w:type="character" w:customStyle="1" w:styleId="200">
    <w:name w:val="Typewriter"/>
    <w:qFormat/>
    <w:uiPriority w:val="0"/>
    <w:rPr>
      <w:rFonts w:ascii="Courier New" w:hAnsi="Courier New"/>
      <w:sz w:val="20"/>
    </w:rPr>
  </w:style>
  <w:style w:type="character" w:customStyle="1" w:styleId="201">
    <w:name w:val="HTML Markup"/>
    <w:qFormat/>
    <w:uiPriority w:val="0"/>
    <w:rPr>
      <w:vanish/>
      <w:color w:val="FF0000"/>
    </w:rPr>
  </w:style>
  <w:style w:type="character" w:customStyle="1" w:styleId="202">
    <w:name w:val="Comment"/>
    <w:qFormat/>
    <w:uiPriority w:val="0"/>
    <w:rPr>
      <w:vanish/>
    </w:rPr>
  </w:style>
  <w:style w:type="paragraph" w:customStyle="1" w:styleId="203">
    <w:name w:val="Заголовок1"/>
    <w:basedOn w:val="1"/>
    <w:next w:val="2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04">
    <w:name w:val="Содержимое врезки"/>
    <w:basedOn w:val="1"/>
    <w:qFormat/>
    <w:uiPriority w:val="0"/>
  </w:style>
  <w:style w:type="paragraph" w:customStyle="1" w:styleId="205">
    <w:name w:val="Обычный1"/>
    <w:qFormat/>
    <w:uiPriority w:val="0"/>
    <w:rPr>
      <w:rFonts w:hint="default" w:ascii="Times New Roman" w:hAnsi="Times New Roman" w:eastAsia="Times New Roman" w:cs="Times New Roman"/>
      <w:color w:val="00000A"/>
      <w:sz w:val="24"/>
      <w:szCs w:val="20"/>
      <w:lang w:val="ru-RU" w:eastAsia="zh-CN" w:bidi="ar-SA"/>
    </w:rPr>
  </w:style>
  <w:style w:type="paragraph" w:customStyle="1" w:styleId="206">
    <w:name w:val="ConsPlusNormal"/>
    <w:link w:val="224"/>
    <w:qFormat/>
    <w:uiPriority w:val="0"/>
    <w:pPr>
      <w:widowControl w:val="0"/>
    </w:pPr>
    <w:rPr>
      <w:rFonts w:hint="default" w:eastAsia="Times New Roman" w:cs="Calibri" w:asciiTheme="minorHAnsi" w:hAnsiTheme="minorHAnsi"/>
      <w:sz w:val="24"/>
      <w:szCs w:val="20"/>
      <w:lang w:val="ru-RU" w:eastAsia="ru-RU" w:bidi="ar-SA"/>
    </w:rPr>
  </w:style>
  <w:style w:type="paragraph" w:customStyle="1" w:styleId="207">
    <w:name w:val="ConsPlusNonformat"/>
    <w:qFormat/>
    <w:uiPriority w:val="99"/>
    <w:pPr>
      <w:widowControl w:val="0"/>
    </w:pPr>
    <w:rPr>
      <w:rFonts w:hint="default" w:ascii="Courier New" w:hAnsi="Courier New" w:eastAsia="Times New Roman" w:cs="Courier New"/>
      <w:sz w:val="24"/>
      <w:szCs w:val="20"/>
      <w:lang w:val="ru-RU" w:eastAsia="zh-CN" w:bidi="ar-SA"/>
    </w:rPr>
  </w:style>
  <w:style w:type="paragraph" w:styleId="208">
    <w:name w:val="List Paragraph"/>
    <w:basedOn w:val="1"/>
    <w:qFormat/>
    <w:uiPriority w:val="0"/>
    <w:pPr>
      <w:spacing w:before="240" w:after="0" w:line="360" w:lineRule="auto"/>
      <w:ind w:left="720" w:firstLine="709"/>
      <w:contextualSpacing/>
      <w:jc w:val="both"/>
    </w:pPr>
    <w:rPr>
      <w:rFonts w:eastAsia="Calibri"/>
      <w:sz w:val="28"/>
      <w:szCs w:val="28"/>
    </w:rPr>
  </w:style>
  <w:style w:type="paragraph" w:customStyle="1" w:styleId="209">
    <w:name w:val="Definition Term"/>
    <w:basedOn w:val="1"/>
    <w:qFormat/>
    <w:uiPriority w:val="0"/>
  </w:style>
  <w:style w:type="paragraph" w:customStyle="1" w:styleId="210">
    <w:name w:val="Definition List"/>
    <w:basedOn w:val="1"/>
    <w:qFormat/>
    <w:uiPriority w:val="0"/>
    <w:pPr>
      <w:ind w:left="360"/>
    </w:pPr>
  </w:style>
  <w:style w:type="paragraph" w:customStyle="1" w:styleId="211">
    <w:name w:val="H1"/>
    <w:basedOn w:val="1"/>
    <w:qFormat/>
    <w:uiPriority w:val="0"/>
    <w:pPr>
      <w:keepNext/>
      <w:outlineLvl w:val="1"/>
    </w:pPr>
    <w:rPr>
      <w:b/>
      <w:sz w:val="48"/>
    </w:rPr>
  </w:style>
  <w:style w:type="paragraph" w:customStyle="1" w:styleId="212">
    <w:name w:val="H2"/>
    <w:basedOn w:val="1"/>
    <w:qFormat/>
    <w:uiPriority w:val="0"/>
    <w:pPr>
      <w:keepNext/>
      <w:outlineLvl w:val="2"/>
    </w:pPr>
    <w:rPr>
      <w:b/>
      <w:sz w:val="36"/>
    </w:rPr>
  </w:style>
  <w:style w:type="paragraph" w:customStyle="1" w:styleId="213">
    <w:name w:val="H3"/>
    <w:basedOn w:val="1"/>
    <w:qFormat/>
    <w:uiPriority w:val="0"/>
    <w:pPr>
      <w:keepNext/>
      <w:outlineLvl w:val="3"/>
    </w:pPr>
    <w:rPr>
      <w:b/>
      <w:sz w:val="28"/>
    </w:rPr>
  </w:style>
  <w:style w:type="paragraph" w:customStyle="1" w:styleId="214">
    <w:name w:val="H4"/>
    <w:basedOn w:val="1"/>
    <w:qFormat/>
    <w:uiPriority w:val="0"/>
    <w:pPr>
      <w:keepNext/>
      <w:outlineLvl w:val="4"/>
    </w:pPr>
    <w:rPr>
      <w:b/>
    </w:rPr>
  </w:style>
  <w:style w:type="paragraph" w:customStyle="1" w:styleId="215">
    <w:name w:val="H5"/>
    <w:basedOn w:val="1"/>
    <w:qFormat/>
    <w:uiPriority w:val="0"/>
    <w:pPr>
      <w:keepNext/>
      <w:outlineLvl w:val="5"/>
    </w:pPr>
    <w:rPr>
      <w:b/>
      <w:sz w:val="20"/>
    </w:rPr>
  </w:style>
  <w:style w:type="paragraph" w:customStyle="1" w:styleId="216">
    <w:name w:val="H6"/>
    <w:basedOn w:val="1"/>
    <w:qFormat/>
    <w:uiPriority w:val="0"/>
    <w:pPr>
      <w:keepNext/>
      <w:outlineLvl w:val="6"/>
    </w:pPr>
    <w:rPr>
      <w:b/>
      <w:sz w:val="16"/>
    </w:rPr>
  </w:style>
  <w:style w:type="paragraph" w:customStyle="1" w:styleId="217">
    <w:name w:val="Address"/>
    <w:basedOn w:val="1"/>
    <w:qFormat/>
    <w:uiPriority w:val="0"/>
    <w:rPr>
      <w:i/>
    </w:rPr>
  </w:style>
  <w:style w:type="paragraph" w:customStyle="1" w:styleId="218">
    <w:name w:val="Blockquote"/>
    <w:basedOn w:val="1"/>
    <w:qFormat/>
    <w:uiPriority w:val="0"/>
    <w:pPr>
      <w:ind w:left="360" w:right="360"/>
    </w:pPr>
  </w:style>
  <w:style w:type="paragraph" w:customStyle="1" w:styleId="219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220">
    <w:name w:val="z-Bottom of Form"/>
    <w:qFormat/>
    <w:uiPriority w:val="0"/>
    <w:pPr>
      <w:pBdr>
        <w:top w:val="single" w:color="000000" w:sz="2" w:space="0"/>
      </w:pBdr>
      <w:jc w:val="center"/>
    </w:pPr>
    <w:rPr>
      <w:rFonts w:hint="default" w:ascii="Arial" w:hAnsi="Arial" w:eastAsia="Arial" w:cs="Courier New"/>
      <w:vanish/>
      <w:sz w:val="16"/>
      <w:szCs w:val="24"/>
      <w:lang w:val="ru-RU" w:eastAsia="en-US" w:bidi="ar-SA"/>
    </w:rPr>
  </w:style>
  <w:style w:type="paragraph" w:customStyle="1" w:styleId="221">
    <w:name w:val="z-Top of Form"/>
    <w:qFormat/>
    <w:uiPriority w:val="0"/>
    <w:pPr>
      <w:pBdr>
        <w:bottom w:val="single" w:color="000000" w:sz="2" w:space="0"/>
      </w:pBdr>
      <w:jc w:val="center"/>
    </w:pPr>
    <w:rPr>
      <w:rFonts w:hint="default" w:ascii="Arial" w:hAnsi="Arial" w:eastAsia="Arial" w:cs="Courier New"/>
      <w:vanish/>
      <w:sz w:val="16"/>
      <w:szCs w:val="24"/>
      <w:lang w:val="ru-RU" w:eastAsia="en-US" w:bidi="ar-SA"/>
    </w:rPr>
  </w:style>
  <w:style w:type="paragraph" w:customStyle="1" w:styleId="222">
    <w:name w:val="Абзац списка1"/>
    <w:basedOn w:val="1"/>
    <w:qFormat/>
    <w:uiPriority w:val="0"/>
    <w:pPr>
      <w:spacing w:before="0" w:after="0"/>
      <w:ind w:left="720"/>
      <w:contextualSpacing/>
    </w:pPr>
    <w:rPr>
      <w:rFonts w:eastAsia="Times New Roman" w:cs="Times New Roman"/>
      <w:lang w:eastAsia="zh-CN"/>
    </w:rPr>
  </w:style>
  <w:style w:type="paragraph" w:customStyle="1" w:styleId="223">
    <w:name w:val="ConsPlusTitle"/>
    <w:qFormat/>
    <w:uiPriority w:val="99"/>
    <w:pPr>
      <w:widowControl w:val="0"/>
    </w:pPr>
    <w:rPr>
      <w:rFonts w:hint="default" w:ascii="Arial" w:hAnsi="Arial" w:cs="Arial" w:eastAsiaTheme="minorEastAsia"/>
      <w:b/>
      <w:bCs/>
      <w:sz w:val="24"/>
      <w:szCs w:val="24"/>
      <w:lang w:val="ru-RU" w:eastAsia="ru-RU" w:bidi="ar-SA"/>
    </w:rPr>
  </w:style>
  <w:style w:type="character" w:customStyle="1" w:styleId="224">
    <w:name w:val="ConsPlusNormal Знак"/>
    <w:link w:val="206"/>
    <w:qFormat/>
    <w:uiPriority w:val="0"/>
    <w:rPr>
      <w:rFonts w:eastAsia="Times New Roman" w:cs="Calibri"/>
      <w:sz w:val="24"/>
      <w:szCs w:val="20"/>
      <w:lang w:eastAsia="ru-RU"/>
    </w:rPr>
  </w:style>
  <w:style w:type="character" w:customStyle="1" w:styleId="225">
    <w:name w:val="section-title"/>
    <w:qFormat/>
    <w:uiPriority w:val="0"/>
  </w:style>
  <w:style w:type="character" w:customStyle="1" w:styleId="226">
    <w:name w:val="markedcontent"/>
    <w:qFormat/>
    <w:uiPriority w:val="0"/>
  </w:style>
  <w:style w:type="character" w:customStyle="1" w:styleId="227">
    <w:name w:val="ListLabel 23"/>
    <w:qFormat/>
    <w:uiPriority w:val="0"/>
    <w:rPr>
      <w:rFonts w:ascii="Times New Roman" w:hAnsi="Times New Roman" w:cs="Times New Roman"/>
      <w:sz w:val="20"/>
      <w:szCs w:val="2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B6BBB4-36E0-46B9-91C5-CB5520241A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MyCompany</Company>
  <TotalTime>0</TotalTime>
  <ScaleCrop>false</ScaleCrop>
  <LinksUpToDate>false</LinksUpToDate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2019-10-25T07:48:00Z</dcterms:created>
  <dc:creator>SilinAL</dc:creator>
  <cp:lastModifiedBy>IvanovaYV</cp:lastModifiedBy>
  <dcterms:modified xsi:type="dcterms:W3CDTF">2024-10-11T05:16:43Z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KSOProductBuildVer">
    <vt:lpwstr>1049-11.2.0.9984</vt:lpwstr>
  </property>
</Properties>
</file>