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rPr>
          <w:sz w:val="26"/>
          <w:szCs w:val="26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rPr>
          <w:sz w:val="24"/>
          <w:szCs w:val="24"/>
        </w:rPr>
      </w:pPr>
    </w:p>
    <w:p>
      <w:pPr>
        <w:pStyle w:val="8"/>
        <w:rPr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от «___» __________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№ ____</w:t>
      </w: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tabs>
          <w:tab w:val="left" w:pos="540"/>
          <w:tab w:val="left" w:pos="720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О</w:t>
      </w:r>
      <w:r>
        <w:rPr>
          <w:b/>
          <w:sz w:val="24"/>
          <w:szCs w:val="24"/>
          <w:lang w:val="ru-RU"/>
        </w:rPr>
        <w:t>б</w:t>
      </w:r>
      <w:r>
        <w:rPr>
          <w:rFonts w:hint="default"/>
          <w:b/>
          <w:sz w:val="24"/>
          <w:szCs w:val="24"/>
          <w:lang w:val="ru-RU"/>
        </w:rPr>
        <w:t xml:space="preserve"> установлении правил использования водных огбъектов расположенных на территории Белоярского района для рекреационных целей</w:t>
      </w: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numPr>
          <w:numId w:val="0"/>
        </w:numPr>
        <w:autoSpaceDE w:val="0"/>
        <w:autoSpaceDN w:val="0"/>
        <w:adjustRightInd w:val="0"/>
        <w:ind w:firstLine="708" w:firstLineChars="0"/>
        <w:jc w:val="both"/>
        <w:rPr>
          <w:bCs/>
          <w:sz w:val="24"/>
          <w:szCs w:val="24"/>
          <w:highlight w:val="none"/>
        </w:rPr>
      </w:pPr>
      <w:r>
        <w:rPr>
          <w:rFonts w:ascii="Times New Roman" w:hAnsi="Times New Roman" w:eastAsia="Tinos" w:cs="Times New Roman"/>
          <w:b w:val="0"/>
          <w:sz w:val="24"/>
          <w:szCs w:val="24"/>
        </w:rPr>
        <w:t>В соответствии со статьями 27, 50 Водного кодекса Российской Федерации, пунктом 28 части 1 статьи 15 Федерального закона от 6</w:t>
      </w:r>
      <w:r>
        <w:rPr>
          <w:rFonts w:hint="default" w:eastAsia="Tinos" w:cs="Times New Roman"/>
          <w:b w:val="0"/>
          <w:sz w:val="24"/>
          <w:szCs w:val="24"/>
          <w:lang w:val="ru-RU"/>
        </w:rPr>
        <w:t xml:space="preserve"> октября </w:t>
      </w:r>
      <w:r>
        <w:rPr>
          <w:rFonts w:ascii="Times New Roman" w:hAnsi="Times New Roman" w:eastAsia="Tinos" w:cs="Times New Roman"/>
          <w:b w:val="0"/>
          <w:sz w:val="24"/>
          <w:szCs w:val="24"/>
        </w:rPr>
        <w:t>2003</w:t>
      </w:r>
      <w:r>
        <w:rPr>
          <w:rFonts w:hint="default" w:eastAsia="Tinos" w:cs="Times New Roman"/>
          <w:b w:val="0"/>
          <w:sz w:val="24"/>
          <w:szCs w:val="24"/>
          <w:lang w:val="ru-RU"/>
        </w:rPr>
        <w:t xml:space="preserve"> года</w:t>
      </w:r>
      <w:r>
        <w:rPr>
          <w:rFonts w:ascii="Times New Roman" w:hAnsi="Times New Roman" w:eastAsia="Tinos" w:cs="Times New Roman"/>
          <w:b w:val="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соглашением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ноября 20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года</w:t>
      </w:r>
      <w:r>
        <w:rPr>
          <w:rFonts w:hint="default" w:eastAsia="Tinos" w:cs="Times New Roman"/>
          <w:b w:val="0"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highlight w:val="none"/>
        </w:rPr>
        <w:t>п о с т а н о в л я ю:</w:t>
      </w:r>
    </w:p>
    <w:p>
      <w:pPr>
        <w:numPr>
          <w:numId w:val="0"/>
        </w:numPr>
        <w:autoSpaceDE w:val="0"/>
        <w:autoSpaceDN w:val="0"/>
        <w:adjustRightInd w:val="0"/>
        <w:ind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ascii="Times New Roman" w:hAnsi="Times New Roman" w:eastAsia="Tinos" w:cs="Times New Roman"/>
          <w:b w:val="0"/>
          <w:sz w:val="24"/>
          <w:szCs w:val="24"/>
        </w:rPr>
        <w:t xml:space="preserve">1. Утвердить правила использования водных объектов, расположенных на территории </w:t>
      </w:r>
      <w:r>
        <w:rPr>
          <w:rFonts w:eastAsia="Tinos" w:cs="Times New Roman"/>
          <w:b w:val="0"/>
          <w:sz w:val="24"/>
          <w:szCs w:val="24"/>
          <w:lang w:val="ru-RU"/>
        </w:rPr>
        <w:t>Белоярского</w:t>
      </w:r>
      <w:r>
        <w:rPr>
          <w:rFonts w:ascii="Times New Roman" w:hAnsi="Times New Roman" w:eastAsia="Tinos" w:cs="Times New Roman"/>
          <w:b w:val="0"/>
          <w:sz w:val="24"/>
          <w:szCs w:val="24"/>
        </w:rPr>
        <w:t xml:space="preserve"> района, для рекреационных целей согласно приложению к настоящему постановлению.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. Настоящее постановление вступает в силу после его официального опубликования</w:t>
      </w:r>
      <w:r>
        <w:rPr>
          <w:rFonts w:hint="default"/>
          <w:sz w:val="24"/>
          <w:szCs w:val="24"/>
          <w:lang w:val="ru-RU"/>
        </w:rPr>
        <w:t>, но не ранее 1 марта 2025 года и действует до 1 марта 2031 года</w:t>
      </w:r>
      <w:r>
        <w:rPr>
          <w:sz w:val="24"/>
          <w:szCs w:val="24"/>
        </w:rPr>
        <w:t>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С.П.Маненков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ind w:left="5400"/>
        <w:jc w:val="center"/>
        <w:rPr>
          <w:sz w:val="24"/>
          <w:highlight w:val="none"/>
        </w:rPr>
      </w:pPr>
      <w:r>
        <w:rPr>
          <w:sz w:val="24"/>
          <w:highlight w:val="none"/>
        </w:rPr>
        <w:t xml:space="preserve">ПРИЛОЖЕНИЕ </w:t>
      </w:r>
    </w:p>
    <w:p>
      <w:pPr>
        <w:ind w:left="5400"/>
        <w:jc w:val="center"/>
        <w:rPr>
          <w:sz w:val="24"/>
          <w:highlight w:val="none"/>
        </w:rPr>
      </w:pPr>
      <w:r>
        <w:rPr>
          <w:sz w:val="24"/>
          <w:highlight w:val="none"/>
        </w:rPr>
        <w:t>к постановлению администрации</w:t>
      </w:r>
    </w:p>
    <w:p>
      <w:pPr>
        <w:ind w:left="5400"/>
        <w:jc w:val="center"/>
        <w:rPr>
          <w:sz w:val="24"/>
          <w:highlight w:val="none"/>
        </w:rPr>
      </w:pPr>
      <w:r>
        <w:rPr>
          <w:sz w:val="24"/>
          <w:highlight w:val="none"/>
        </w:rPr>
        <w:t>Белоярского района</w:t>
      </w:r>
    </w:p>
    <w:p>
      <w:pPr>
        <w:ind w:left="5400"/>
        <w:jc w:val="center"/>
        <w:rPr>
          <w:rFonts w:hint="default"/>
          <w:sz w:val="24"/>
          <w:highlight w:val="none"/>
          <w:lang w:val="ru-RU"/>
        </w:rPr>
      </w:pPr>
      <w:r>
        <w:rPr>
          <w:sz w:val="24"/>
          <w:highlight w:val="none"/>
        </w:rPr>
        <w:t xml:space="preserve">от </w:t>
      </w:r>
      <w:r>
        <w:rPr>
          <w:rFonts w:hint="default"/>
          <w:sz w:val="24"/>
          <w:highlight w:val="none"/>
          <w:lang w:val="ru-RU"/>
        </w:rPr>
        <w:t>____________</w:t>
      </w:r>
      <w:r>
        <w:rPr>
          <w:sz w:val="24"/>
          <w:highlight w:val="none"/>
        </w:rPr>
        <w:t xml:space="preserve"> года № </w:t>
      </w:r>
      <w:r>
        <w:rPr>
          <w:rFonts w:hint="default"/>
          <w:sz w:val="24"/>
          <w:highlight w:val="none"/>
          <w:lang w:val="ru-RU"/>
        </w:rPr>
        <w:t>_____</w:t>
      </w:r>
    </w:p>
    <w:p>
      <w:pPr>
        <w:ind w:left="5400"/>
        <w:jc w:val="center"/>
        <w:rPr>
          <w:rFonts w:hint="default"/>
          <w:sz w:val="24"/>
          <w:highlight w:val="none"/>
          <w:lang w:val="ru-RU"/>
        </w:rPr>
      </w:pPr>
    </w:p>
    <w:p>
      <w:pPr>
        <w:ind w:left="5400"/>
        <w:jc w:val="center"/>
        <w:rPr>
          <w:rFonts w:hint="default"/>
          <w:sz w:val="24"/>
          <w:highlight w:val="none"/>
          <w:lang w:val="ru-RU"/>
        </w:rPr>
      </w:pP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eastAsia="Tinos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Tinos" w:cs="Times New Roman"/>
          <w:b/>
          <w:bCs w:val="0"/>
          <w:sz w:val="24"/>
          <w:szCs w:val="24"/>
        </w:rPr>
        <w:t xml:space="preserve">Правила </w:t>
      </w: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eastAsia="Tinos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Tinos" w:cs="Times New Roman"/>
          <w:b/>
          <w:bCs w:val="0"/>
          <w:sz w:val="24"/>
          <w:szCs w:val="24"/>
        </w:rPr>
        <w:t>использования водных объектов,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eastAsia="Tinos" w:cs="Times New Roman"/>
          <w:b/>
          <w:bCs w:val="0"/>
          <w:sz w:val="24"/>
          <w:szCs w:val="24"/>
        </w:rPr>
        <w:t xml:space="preserve">расположенных </w:t>
      </w: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eastAsia="Tinos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Tinos" w:cs="Times New Roman"/>
          <w:b/>
          <w:bCs w:val="0"/>
          <w:sz w:val="24"/>
          <w:szCs w:val="24"/>
        </w:rPr>
        <w:t xml:space="preserve">на территории </w:t>
      </w:r>
      <w:r>
        <w:rPr>
          <w:rFonts w:hint="default" w:ascii="Times New Roman" w:hAnsi="Times New Roman" w:eastAsia="Tinos" w:cs="Times New Roman"/>
          <w:b/>
          <w:bCs w:val="0"/>
          <w:sz w:val="24"/>
          <w:szCs w:val="24"/>
          <w:lang w:val="ru-RU"/>
        </w:rPr>
        <w:t>Белоярского района</w:t>
      </w:r>
      <w:r>
        <w:rPr>
          <w:rFonts w:hint="default" w:ascii="Times New Roman" w:hAnsi="Times New Roman" w:eastAsia="Tinos" w:cs="Times New Roman"/>
          <w:b/>
          <w:bCs w:val="0"/>
          <w:sz w:val="24"/>
          <w:szCs w:val="24"/>
        </w:rPr>
        <w:t xml:space="preserve">, для рекреационных целей </w:t>
      </w: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eastAsia="Tinos" w:cs="Times New Roman"/>
          <w:b w:val="0"/>
          <w:sz w:val="24"/>
          <w:szCs w:val="24"/>
        </w:rPr>
      </w:pPr>
      <w:r>
        <w:rPr>
          <w:rFonts w:hint="default" w:ascii="Times New Roman" w:hAnsi="Times New Roman" w:eastAsia="Tinos" w:cs="Times New Roman"/>
          <w:b/>
          <w:bCs w:val="0"/>
          <w:sz w:val="24"/>
          <w:szCs w:val="24"/>
        </w:rPr>
        <w:t>(туризма,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>
        <w:rPr>
          <w:rFonts w:hint="default" w:ascii="Times New Roman" w:hAnsi="Times New Roman" w:eastAsia="Tinos" w:cs="Times New Roman"/>
          <w:b w:val="0"/>
          <w:sz w:val="24"/>
          <w:szCs w:val="24"/>
        </w:rPr>
        <w:t xml:space="preserve"> </w:t>
      </w: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Tinos" w:cs="Times New Roman"/>
          <w:b/>
          <w:bCs w:val="0"/>
          <w:sz w:val="24"/>
          <w:szCs w:val="24"/>
        </w:rPr>
        <w:t>(далее - Правила)</w:t>
      </w:r>
    </w:p>
    <w:p>
      <w:pPr>
        <w:pStyle w:val="13"/>
        <w:ind w:left="0" w:leftChars="0" w:right="1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I. Общие положения</w:t>
      </w:r>
    </w:p>
    <w:p>
      <w:pPr>
        <w:pStyle w:val="13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3"/>
        <w:numPr>
          <w:ilvl w:val="1"/>
          <w:numId w:val="1"/>
        </w:numPr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Правила разработаны в соответствии с Водным кодексом Российской Федерации, приказом Министерства Российской Федерации по делам гражданской обороны, чрезвычайным ситуациям и ликвидации последствий стихийных бедствий от 30 сентября 2020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732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Об утверждении Правил пользования пляжами в Российской Федерации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 xml:space="preserve"> (далее - приказ № 732).</w:t>
      </w:r>
    </w:p>
    <w:p>
      <w:pPr>
        <w:pStyle w:val="13"/>
        <w:numPr>
          <w:numId w:val="0"/>
        </w:numPr>
        <w:ind w:right="1" w:rightChars="0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Правила действуют на водных объектах и их береговых полосах, в зонах отдыха и на пляжах, расположенных в муниципальном образовании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Белоярский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 Ханты-Мансийского автономного округа – Югры.</w:t>
      </w:r>
    </w:p>
    <w:p>
      <w:pPr>
        <w:pStyle w:val="13"/>
        <w:numPr>
          <w:numId w:val="0"/>
        </w:numPr>
        <w:ind w:right="1" w:rightChars="0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 В Правилах используются следующие основные понятия и термины:</w:t>
      </w:r>
    </w:p>
    <w:p>
      <w:pPr>
        <w:pStyle w:val="17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акватория - водное пространство в пределах естественных, искусственных или условных границ;</w:t>
      </w:r>
    </w:p>
    <w:p>
      <w:pPr>
        <w:pStyle w:val="17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безопасность населения на водных объектах - требуемый уровень защиты населения, достигаемый эффективным проведением комплекса мероприятий по профилактике (предупреждению) несчастных случаев с людьми на водных объектах и выполнению поисково-спасательных и (или) аварийно-спасательных работ в случае возникновения и ликвидации последствий чрезвычайных ситуаций природного или техногенного характера на водных объектах;</w:t>
      </w:r>
    </w:p>
    <w:p>
      <w:pPr>
        <w:pStyle w:val="17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береговая полоса - полоса земли вдоль береговой линии водного объекта общего пользования, ширина 20 метров, за исключением ширины (5 метров) береговой полосы каналов, а также рек и ручьев, протяженность которых от истока до устья не более чем 10 километров;</w:t>
      </w:r>
    </w:p>
    <w:p>
      <w:pPr>
        <w:pStyle w:val="17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владелец пляжа - юридическое или физическое лицо, которому предоставлены в пользование в установленном порядке для оборудования пляжа земельный участок и водный объект или его часть;</w:t>
      </w:r>
    </w:p>
    <w:p>
      <w:pPr>
        <w:pStyle w:val="17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 (река, ручей, канал, озеро, пруд, обводненный карьер, водохранилище);</w:t>
      </w:r>
    </w:p>
    <w:p>
      <w:pPr>
        <w:pStyle w:val="17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водопользователь - физическое или юридическое лицо, которым предоставлено право пользования водным объектом;</w:t>
      </w:r>
    </w:p>
    <w:p>
      <w:pPr>
        <w:pStyle w:val="17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дайвинг - подводное плавание (погружение) со специальным снаряжением;</w:t>
      </w:r>
    </w:p>
    <w:p>
      <w:pPr>
        <w:pStyle w:val="17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объект отдыха - зона (место) отдыха или сооружение, используемое для проведения рекреационных, развлекательных, культурных и спортивных мероприятий на акватории и (или) берегу водного объекта, имеющего открытую водную поверхность, используемые или предназначенные для 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оздоровления;</w:t>
      </w:r>
    </w:p>
    <w:p>
      <w:pPr>
        <w:pStyle w:val="17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пляж - земельный участок, прилегающий к водному объекту и обустроенный для организованного отдыха населения, в том числе купания;</w:t>
      </w:r>
    </w:p>
    <w:p>
      <w:pPr>
        <w:pStyle w:val="17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пользователь - балансодержатель зоны отдыха - юридическое или физическое лицо, которым зона отдыха предоставлена в пользование в установленном порядке;</w:t>
      </w:r>
    </w:p>
    <w:p>
      <w:pPr>
        <w:pStyle w:val="17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собственник водного объекта - Российская Федерация, автономный округ как субъект Российской Федерации, муниципальное образование автономного округа, физическое лицо, юридическое лицо;</w:t>
      </w:r>
    </w:p>
    <w:p>
      <w:pPr>
        <w:pStyle w:val="17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технические средства активного отдыха на водных объектах - маломерные суда и суда, поднадзорные Российскому речному регистру</w:t>
      </w:r>
      <w:r>
        <w:rPr>
          <w:rFonts w:hint="default" w:ascii="Times New Roman" w:hAnsi="Times New Roman" w:cs="Times New Roman"/>
          <w:b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плавсредства лодочных прокатных станций (пунктов), буксируемые средства (водные лыжи, вейкборды,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бананы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, круги и т.п.), парусно-парашютные средства (буера, кайтбординг, виндсерфинг и т.п.), пара - и мотодельтапланы, гидроциклы, суда на воздушной подушке и другие средства указанного назначения, в том числе для подводной охоты и дайвинга.</w:t>
      </w:r>
    </w:p>
    <w:p>
      <w:pPr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1.3. Использование водных объектов для рекреационных целей (туризм, физическая культура и спорта, организация отдыха и укрепления здоровья граждан, в том числе организация отдыха детей и их оздоровления) осуществляется с учетом правил использования водных объектов общего пользования для личных и бытовых нужд, устанавливаемых постановлением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района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29 сентября </w:t>
      </w: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08</w:t>
      </w:r>
      <w:r>
        <w:rPr>
          <w:rFonts w:hint="default" w:ascii="Times New Roman" w:hAnsi="Times New Roman" w:cs="Times New Roman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1737</w:t>
      </w:r>
      <w:r>
        <w:rPr>
          <w:rFonts w:hint="default" w:ascii="Times New Roman" w:hAnsi="Times New Roman" w:cs="Times New Roman"/>
          <w:sz w:val="24"/>
          <w:szCs w:val="24"/>
        </w:rPr>
        <w:t xml:space="preserve"> «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 w:bidi="ar-SA"/>
        </w:rPr>
        <w:t xml:space="preserve">Об 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ru-RU" w:bidi="ar-SA"/>
        </w:rPr>
        <w:t>утверждении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 w:bidi="ar-SA"/>
        </w:rPr>
        <w:t xml:space="preserve"> правил использования водных объектов общего пользования, расположенных на территории 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ru-RU" w:bidi="ar-SA"/>
        </w:rPr>
        <w:t>Белоярского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eastAsia="ru-RU" w:bidi="ar-SA"/>
        </w:rPr>
        <w:t xml:space="preserve"> района, для личных и бытовых нужд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ru-RU" w:bidi="ar-SA"/>
        </w:rPr>
        <w:t>, включая обеспечение свободного доступа граждан к водным объектам общего пользования и их береговым полосам</w:t>
      </w:r>
      <w:r>
        <w:rPr>
          <w:rFonts w:hint="default" w:ascii="Times New Roman" w:hAnsi="Times New Roman" w:cs="Times New Roman"/>
          <w:sz w:val="24"/>
          <w:szCs w:val="24"/>
        </w:rPr>
        <w:t>» (далее - правил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использования водных объектов общего пользования, расположенных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района), на основании договора водопользования.</w:t>
      </w:r>
    </w:p>
    <w:p>
      <w:pPr>
        <w:pStyle w:val="17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1.4. Водопользователи при пользовании водным объектом или его частью в рекреационных целях обязаны осуществлять мероприятия по охране водных объектов, предотвращению их загрязнения, засорения, истощения, а также меры по ликвидации последствий указанных явлений в соответствии с Водным кодексом Российской Федерации и другими федеральными законами.</w:t>
      </w:r>
    </w:p>
    <w:p>
      <w:pPr>
        <w:pStyle w:val="17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1.5.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законодательством, законодательством о градостроительной деятельности и санитарно-эпидемиологическим законодательством.</w:t>
      </w:r>
    </w:p>
    <w:p>
      <w:pPr>
        <w:pStyle w:val="17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1.6. Ограничения использования водного объекта общего пользования (купание, эксплуатация маломерных судов, водных мотоциклов (гидроциклов) и других технических средств, предназначенных для отдыха на водных объектах) применяется в случаях, предусмотренных законодательством Российской Федерации и автономного округа, с обязательным оповещением населения исполнительными органами автономного округа через средства массовой информации, выставлением специальных информационных знаков или иным способом.</w:t>
      </w:r>
    </w:p>
    <w:p>
      <w:pPr>
        <w:pStyle w:val="17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1.7.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участках.</w:t>
      </w:r>
    </w:p>
    <w:p>
      <w:pPr>
        <w:pStyle w:val="17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1.8. Использование водных объектов для плавания на маломерных судах осуществляется в соответствии с Правилами пользования водными объектами для плавания на маломерных судах в автономном округе, утвержденными постановлением Правительства Ханты-Мансийского автономного округа – Югры от 24 января 2007 года № 10-п.</w:t>
      </w:r>
    </w:p>
    <w:p>
      <w:pPr>
        <w:pStyle w:val="17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1.9. Водопользователи, допустившие нарушение вследствие несоблюдения указанных в договоре водопользования условий и требований, привлекаются к ответственности в соответствии с федеральным законодательством.</w:t>
      </w:r>
    </w:p>
    <w:p>
      <w:pPr>
        <w:pStyle w:val="17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1.10. Лица, нарушившие Правила, несут ответственность в соответствии с законодательством Российской Федерации и автономного округа.</w:t>
      </w:r>
    </w:p>
    <w:p>
      <w:pPr>
        <w:pStyle w:val="13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Par92"/>
      <w:bookmarkEnd w:id="0"/>
      <w:r>
        <w:rPr>
          <w:rFonts w:hint="default" w:ascii="Times New Roman" w:hAnsi="Times New Roman" w:cs="Times New Roman"/>
          <w:sz w:val="24"/>
          <w:szCs w:val="24"/>
        </w:rPr>
        <w:t>II. Обязанности водопользователя</w:t>
      </w:r>
    </w:p>
    <w:p>
      <w:pPr>
        <w:pStyle w:val="13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   Водопользователь обязан: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обеспечить содержание водного объекта в соответствии с Правилами, нормами и правилами по благоустройству, санитарно-эпидемиологическими и экологическими требованиями, действующими в автономном округе;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обеспечить своевременное представление информации в единую дежурно-диспетчерскую службу органа местного самоуправления муниципального образования автономного округа о происшествиях, авариях и иных чрезвычайных ситуациях на водном объекте по телефону 112;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обеспечить своевременное осуществление мероприятий по предупреждению и ликвидации чрезвычайных ситуаций на водном объекте;</w:t>
      </w:r>
    </w:p>
    <w:p>
      <w:pPr>
        <w:pStyle w:val="18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осуществлять профилактические мероприятия по предупреждению случаев гибели и травматизма людей на водном объекте;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контролировать соблюдение физическими и юридическими лицами Правил, информировать уполномоченные исполнительные органы автономного округа и органы местного самоуправления автономного округа о случаях их нарушений;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Российской Федерации и автономного округа.</w:t>
      </w:r>
    </w:p>
    <w:p>
      <w:pPr>
        <w:pStyle w:val="13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III. Обязанности пользователя - балансодержателя зоны отдыха</w:t>
      </w:r>
    </w:p>
    <w:p>
      <w:pPr>
        <w:pStyle w:val="13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3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3.1. Пользователь - балансодержатель зоны отдыха обязан обеспечить выполнение на водных объектах или их частях, входящих в состав зоны отдыха, требований, установленных разделом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"Par92" \t "Раздел III. ОБЯЗАННОСТИ СОБСТВЕННИКА ВОДНОГО ОБЪЕКТА,"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II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Правил, а также оборудовать и содержать зону отдыха в соответствии с требованиями безопасности, установленными  разделами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"Par132" \t "Раздел VIII. ОРГАНИЗАЦИЯ ИСПОЛЬЗОВАНИЯ ВОДНЫХ ОБЪЕКТОВ"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VI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, I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"Par236" \t "Раздел XII. ОРГАНИЗАЦИЯ ДАЙВИНГА (ПОДВОДНЫХ ПОГРУЖЕНИЙ)"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X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Правил.</w:t>
      </w:r>
    </w:p>
    <w:p>
      <w:pPr>
        <w:pStyle w:val="13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IV. Обязанности владельцев пляжей</w:t>
      </w:r>
    </w:p>
    <w:p>
      <w:pPr>
        <w:pStyle w:val="13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4.1. Организацию пользования пляжами осуществляют их владельцы с соблюдением требований водного, земельного, градостроительного законодательства Российской Федерации, законодательства Российской Федерации о санитарно-эпидемиологическом благополучии населения.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4.2. Владелец пляжа обязан:</w:t>
      </w:r>
    </w:p>
    <w:p>
      <w:pPr>
        <w:pStyle w:val="18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обеспечить выполнение на территории пляжа и части акватории водного объекта, отведенного для купания, требований, установленных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"Par92" \t "Раздел III. ОБЯЗАННОСТИ СОБСТВЕННИКА ВОДНОГО ОБЪЕКТА,"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разделами II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"Par132" \t "Раздел VIII. ОРГАНИЗАЦИЯ ИСПОЛЬЗОВАНИЯ ВОДНЫХ ОБЪЕКТОВ"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VI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Правил;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hint="default" w:ascii="Times New Roman" w:hAnsi="Times New Roman" w:cs="Times New Roman"/>
          <w:sz w:val="24"/>
          <w:szCs w:val="24"/>
        </w:rPr>
        <w:t xml:space="preserve">оборудовать и содержать пляж в соответствии с требованиями безопасности, установленными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"Par140" \t "Раздел IX. ОРГАНИЗАЦИЯ ОБОРУДОВАНИЯ И СОДЕРЖАНИЯ ПЛЯЖЕЙ"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 xml:space="preserve">разделом 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VII Правил.</w:t>
      </w:r>
    </w:p>
    <w:p>
      <w:pPr>
        <w:pStyle w:val="13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V. Обязанности посетителей водных объектов</w:t>
      </w:r>
    </w:p>
    <w:p>
      <w:pPr>
        <w:pStyle w:val="13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5.1. Посетители водных объектов, находящиеся на водных объектах и их береговых полосах, в зонах отдыха и на пляжах, обязаны: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соблюдать меры безопасности, установленные Правилами;</w:t>
      </w:r>
    </w:p>
    <w:p>
      <w:pPr>
        <w:pStyle w:val="18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информировать единую дежурно-диспетчерскую службу органа местного самоуправления муниципального образования автономного округа по телефону 112 о происшествиях,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авариях и иных чрезвычайных ситуациях на водных объектах;</w:t>
      </w:r>
    </w:p>
    <w:p>
      <w:pPr>
        <w:pStyle w:val="18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немедленно сообщать о терпящих бедствие людях на водном объекте по телефонам экстренного вызова оперативных служб, информировать администрацию зоны отдыха и пляжа;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оказывать с соблюдением мер предосторожности посильную помощь терпящим бедствие на водном объекте.</w:t>
      </w: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1" w:name="Par132"/>
      <w:bookmarkEnd w:id="1"/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VI. Организация использования водных объектов</w:t>
      </w: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населением. Организация зон отдыха</w:t>
      </w:r>
    </w:p>
    <w:p>
      <w:pPr>
        <w:pStyle w:val="13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6.1. Условия создания и эксплуатации зон отдыха регламентируются Правилами.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6.2. Приём в эксплуатацию зон отдыха, расположенных на межселенной территории, осуществляет ежегодно комиссия, состав которой определяет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района. 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Приём в эксплуатацию зон отдыха, расположенных на территории поселения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района, осуществляет ежегодно комиссия, состав которой определяет орган местного самоуправления поселения. 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6.3. Зоны отдыха на водных объектах разделяются на зоны отдыха с купанием и без купания. Зона отдыха с купанием включает место для купания, которое должно отвечать требованиям, установленным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"Par140" \t "Раздел IX. ОРГАНИЗАЦИЯ ОБОРУДОВАНИЯ И СОДЕРЖАНИЯ ПЛЯЖЕЙ"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 xml:space="preserve">разделах 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Arial" w:cs="Times New Roman"/>
          <w:sz w:val="24"/>
          <w:szCs w:val="24"/>
        </w:rPr>
        <w:t>VII</w:t>
      </w:r>
      <w:r>
        <w:rPr>
          <w:rFonts w:hint="default" w:ascii="Times New Roman" w:hAnsi="Times New Roman" w:cs="Times New Roman"/>
          <w:sz w:val="24"/>
          <w:szCs w:val="24"/>
        </w:rPr>
        <w:t>, I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"Par236" \t "Раздел XII. ОРГАНИЗАЦИЯ ДАЙВИНГА (ПОДВОДНЫХ ПОГРУЖЕНИЙ)"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X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Правил.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6.4. В зонах отдыха при отсутствии оборудованных мест для купания с целью предупреждения несчастных случаев и оказания помощи людям, терпящим бедствие на водном объекте, должны выставляться ведомственные или общественные спасательные посты (далее - посты), укомплектованные спасателями, плавательными средствами и спасательным оборудованием, устанавливаться заградительные буйки.</w:t>
      </w:r>
    </w:p>
    <w:p>
      <w:pPr>
        <w:pStyle w:val="13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2" w:name="Par140"/>
      <w:bookmarkEnd w:id="2"/>
      <w:r>
        <w:rPr>
          <w:rFonts w:hint="default" w:ascii="Times New Roman" w:hAnsi="Times New Roman" w:cs="Times New Roman"/>
          <w:sz w:val="24"/>
          <w:szCs w:val="24"/>
        </w:rPr>
        <w:t>Раздел VII. Организация оборудования и содержания пляжей</w:t>
      </w:r>
    </w:p>
    <w:p>
      <w:pPr>
        <w:pStyle w:val="13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7.1. Пляж оборудует его владелец. При обустройстве территорий пляжей необходимым условием является соблюдение требований водного законодательства в части равного и бесплатного доступа граждан к водным объектам общего пользования, санитарно-эпидемиологических правил и нормативов.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7.2. На пляжах с целью предупреждения несчастных случаев и оказания помощи людям, терпящим бедствие на водных объектах, владельцами пляжей создаются посты с дежурством спасателей или матросов спасателей в установленное время работы пляжей.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7.3. Расписание работы поста (дежурства спасателей) устанавливает владелец пляжа по согласованию с администрацией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района в случае расположения пляжа на межселенной территории, либо орган местного самоуправления поселения, на территории которого планируется расположение пляжа.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7.4. Оснащение постов помещениями, средствами спасания, связи, наблюдения, оповещения, оказания первой помощи и другим имуществом, подготовка и содержание спасателей осуществляется за счет средств организаций, использующих водные объекты для отдыха населения, в производственных и иных целях.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7.5. Пост должен обеспечивать безопасность людей на водных объектах в зоне его ответственности на соответствующем участке акватории. Рекомендуемый минимальный состав поста: старший поста - 1 человек, спасатели - 2 человека.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7.6. На постах должны быть предусмотрены помещения для размещения спасателей и спасательного имущества, наблюдательные вышки. Пост должен быть оснащен следующими средствами в количестве (не менее):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лодка весельная (моторная) - 1;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круги спасательные - 2;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жилеты (нагрудники) спасательные - 3;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комплекты № 1 (ласты, маска, дыхательная трубка) - 3;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спасательные «концы Александрова» - 2;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укладка для оказания первой помощи - 1;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мегафон - 1;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бинокль - 1;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сотовый телефон - 1.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посту должна вестись служебная документация: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распорядок дня работы поста;</w:t>
      </w:r>
    </w:p>
    <w:p>
      <w:pPr>
        <w:pStyle w:val="18"/>
        <w:ind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вахтенный журнал;</w:t>
      </w:r>
    </w:p>
    <w:p>
      <w:pPr>
        <w:pStyle w:val="18"/>
        <w:ind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расписание по спасательной тревоге;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инструкция дежурному поста;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инструкция вахтенному наблюдателю;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книга актов о несчастных случаях на водных объектах;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карта (схема) своего района с обозначением глубин акватории, опасных мест,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маршрута патрулирования;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опись имущества, принимаемого при заступлении на дежурство;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 тетрадь.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7.7. Владелец пляжа ежегодно перед началом его эксплуатации направляет в Государственную инспекцию по маломерным судам МЧС России по автономному округу  (далее – ГИМС МЧС) заявление-декларацию не менее чем за 30 календарных дней до планируемой даты начала эксплуатации пляжа, указанной в заявлении-декларации, составленном в соответствии с образцом, установленным приказом № 732.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7.8. К заявлению-декларации владелец пляжа прилагает: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акт обследования дна пляжа;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сведения об оборудовании спасательного поста и его оснащении;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график работы поста;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схему оборудования пляжа с указанием границ заплыва, расположением спасательного поста;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ahoma" w:cs="Times New Roman"/>
          <w:kern w:val="0"/>
          <w:sz w:val="24"/>
          <w:szCs w:val="24"/>
          <w:lang w:eastAsia="zh-CN" w:bidi="ar-SA"/>
        </w:rPr>
        <w:t>копию договора водопользования.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7.9. Открытие и эксплуатация пляжа без получения уведомления о регистрации заявления-декларации ГИМС МЧС с информацией о присвоенном регистрационном номере запрещается.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7.10. Пляжи располагаются на расстоянии не менее 500 метров выше по течению от мест спуска сточных вод, не ближе 250 метров выше и 1000 метров ниже портовых, гидротехнических сооружений, пристаней, причалов, пирсов, дебаркадеров, нефтеналивных приспособлений.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7.11. В местах, отведенных для купания, и выше их по течению до 500 метров запрещается стирка белья и купание животных.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7.12. Территория пляжа должна иметь ограждение и стоки для дождевых вод, а дно его акватории - постепенный скат без уступов до глубины 2 метров при ширине береговой линии не менее 15 метров.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7.13. Место купания в проточном водоеме должно обеспечиваться не менее 5 квадратными метрами на 1 купающегося, в непроточном водоеме - в 2 - 3 раза больше. На каждого человека должно приходиться не менее 2 квадратных метров площади пляжа.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7.14. В местах купания не должно быть выхода грунтовых вод на поверхность, водоворотов, воронок и течения, превышающего 0,5 метра в секунду.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7.15. Места купания должны соединяться с берегом мостками или трапами, сходы в воду должны быть закреплены и иметь перила.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7.16. Пляж и места купания должны быть отлогими, без обрывов и ям. Устройство пляжей на глинистых участках не допускается.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7.17. Границы мест купания обозначаются буйками оранжевого цвета, расположенными на расстоянии 20 - 30 метров один от другого и до 25 метров от места с глубиной 1,3 метра.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7.18. Указанные границы купальни не должны входить в зону судового хода.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7.19. Места для купания детей и для лиц, не умеющих плавать, предусматриваются глубиной не более 1,2 метра. Такие участки обозначаются линией поплавков, закрепленных на тросах, или ограждаются штакетным забором.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7.20. При отсутствии естественных участков с глубинами, обеспечивающими безопасность при нырянии, оборудуются деревянные мостки или плоты для прыжков в воду.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7.21. Пляжи оборудуются стендами с извлечениями из Правил, материалами по профилактике несчастных случаев на водных объектах, планом пляжа (с указанием месторасположения поста спасателей, биотуалетов, кабинок для переодевания), данными о температуре воды и воздуха.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7.22. Пляжи обеспечиваются лежаками, тентами, зонтиками для защиты от солнечных лучей, душами с естественным подогревом воды, при наличии водопроводов - фонтанчиками с питьевой водой, урнами и баками для накопления отходов.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7.23. На выступающей за береговую линию в сторону судового хода части места купания с наступлением темноты должен зажигаться белый огонь кругового освещения на высоте не менее 2 метров над настилом, ясно видимый со стороны судового хода. </w:t>
      </w:r>
    </w:p>
    <w:p>
      <w:pPr>
        <w:pStyle w:val="18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Функционирование зоны купания в темное время суток (астрономическое, с захода до восхода солнца) запрещено.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7.24. На береговой линии не далее 5 метров от воды выставляются через каждые 50 метров стойки (щиты) с навешенными на них спасательными кругами и «концами Александрова». </w:t>
      </w:r>
    </w:p>
    <w:p>
      <w:pPr>
        <w:pStyle w:val="18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кругах должны быть нанесены название пляжа и слова «Бросай утопающему».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7.25. Пляжи должны иметь телефонную связь.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7.26. Продажа спиртных напитков на пляжах запрещается.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7.27. На пляжах запрещено размещение в зоне купания пунктов проката маломерных судов, спуск в воду и движение маломерных судов в зоне купания, за исключением спасательных судов, патрульных судов ГИМС МЧС.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eastAsia="Tahoma" w:cs="Times New Roman"/>
          <w:kern w:val="0"/>
          <w:sz w:val="24"/>
          <w:szCs w:val="24"/>
          <w:lang w:eastAsia="zh-CN" w:bidi="ar-SA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7.28. </w:t>
      </w:r>
      <w:r>
        <w:rPr>
          <w:rFonts w:hint="default" w:ascii="Times New Roman" w:hAnsi="Times New Roman" w:eastAsia="Tahoma" w:cs="Times New Roman"/>
          <w:kern w:val="0"/>
          <w:sz w:val="24"/>
          <w:szCs w:val="24"/>
          <w:lang w:eastAsia="zh-CN" w:bidi="ar-SA"/>
        </w:rPr>
        <w:t>Наличие укомплектованных укладок для оказание первой помощи в соответствии с требованиями приказа Министерства здравоохранения Российской Федерации от 24 мая 2024 года № 262н «Об утверждении требований к комплектации аптечки для оказания работниками первой помощи пострадавшим с применением медицинских изделий».</w:t>
      </w:r>
    </w:p>
    <w:p>
      <w:pPr>
        <w:pStyle w:val="13"/>
        <w:ind w:left="0" w:leftChars="0" w:right="1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VIII. Меры безопасности при купании</w:t>
      </w:r>
    </w:p>
    <w:p>
      <w:pPr>
        <w:pStyle w:val="13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8.1. При купании на водных объектах посетителям запрещается: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купаться в местах, где выставлены щиты (аншлаги) с предупреждающими и запрещающими знаками и надписями;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купаться в необорудованных местах;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подплывать к моторным, парусным судам, весельным лодкам и другим плавательным средствам;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прыгать в воду с катеров, лодок, причалов и других не предназначенных для этих целей сооружений;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загрязнять и засорять водные объекты и берега;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распивать спиртные напитки, купаться в состоянии алкогольного опьянения;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играть с мячом и в спортивные игры в не предусмотренных для этих целей местах, а также совершать в воде действия, связанные с нырянием и захватом купающихся, подавать крики ложной тревоги;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плавать на досках, бревнах, лежаках, автомобильных камерах;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заплывать за буйки;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приводить с собой животных, за исключением собак-поводырей;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судоходство в акватории, предназначенной для купания.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8.2. Обучение людей плаванию должно проводиться в специально отведенных местах пляжа. При этом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8.3. Для проведения уроков по плаванию оборудуется примыкающая к воде площадка. В целях обеспечения безопасности в местах обучения плаванию должны быть в наличии плавательные доски, спасательные круги, шесты, плавательные поддерживающие пояса, электромегафоны и другие современные средства, обеспечивающие безопасность обучаемых и инструкторов.</w:t>
      </w:r>
    </w:p>
    <w:p>
      <w:pPr>
        <w:pStyle w:val="14"/>
        <w:spacing w:before="300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IX. Дополнительные меры по обеспечению безопасности</w:t>
      </w: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детей на пляжах учреждений для их отдыха</w:t>
      </w:r>
    </w:p>
    <w:p>
      <w:pPr>
        <w:pStyle w:val="13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9.1. Территория пляжа учреждений для отдыха детей (далее - оздоровительные учреждения) должна иметь ограждение.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9.2. На указанных пляжах принимаются повышенные меры безопасности. Места купания оборудуются с глубиной от 0,7 до 1,3 метров.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9.3. На расстоянии 3 метров от береговой линии через каждые 25 метров устанавливаются стойки с вывешенными на них спасательными кругами и «концами Александрова».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9.4. Взрослые обязаны не допускать купание детей в неустановленных местах, а также плавание на неприспособленных для этого средствах (предметах) и других нарушений на водных объектах.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9.5. На пляжах оздоровительных учреждений оборудуются места для обучения плаванию детей дошкольного и младшего школьного возраста с глубинами не более 0,7 метра, а также для детей старшего возраста с глубинами не более 1,2 метра, огражденных забором или обнесенных линией поплавков, закрепленными на тросах.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9.6. В местах с глубинами до 2 метров разрешается купаться только хорошо умеющим плавать детям в возрасте 12 лет и старше. Эти места ограждаются буйками, расположенными на расстоянии 25 - 30 метров один от другого.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9.7. Купание детей разрешается группами не более 10 человек и продолжительностью не более 10 минут.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9.8. Купание детей, не умеющих плавать, выполняется отдельно от детей, умеющих плавать.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9.9. Купающимся детям запрещается нырять с перил и мостиков, заплывать за ограждающие буйки.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9.10. Эксплуатация пляжей в оздоровительных учреждениях запрещается без инструкторов по плаванию, на которых возлагаются ответственность за безопасность детей и методическое руководство обучения их плаванию.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9.11. Перед началом купания детей проводится следующая подготовка пляжа: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границы мест купания вдоль береговой линии обозначаются флажками;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щиты навешиваются спасательные круги, «концы Александрова» и другой спасательный инвентарь;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спасатель на спасательной лодке выходит на внешнюю сторону границы купания и удерживается в 2 метрах от нее;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 купающимися детьми должно вестись непрерывное наблюдение инструкторами по плаванию, воспитателями, медицинскими работниками и спасателями.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9.12. Во время купания детей запрещается купание и нахождение посторонних лиц;</w:t>
      </w:r>
    </w:p>
    <w:p>
      <w:pPr>
        <w:pStyle w:val="18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катание на лодках и катерах, проведение спортивных игр и других мероприятий.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9.13. Для проведения уроков по плаванию оборудуется примыкающая к воде площадка, на которой должны находиться плавательные доски, резиновые круги по числу детей, шесты для поддержки не умеющих плавать, плавательные поддерживающие пояса, ватерпольные мячи, электромегафоны, а также стенд с расписанием занятий с учебными плакатами по методике обучения и технике плавания.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9.14. Запрещено оставлять без присмотра детей независимо от наличия у них навыков плавания.</w:t>
      </w:r>
    </w:p>
    <w:p>
      <w:pPr>
        <w:pStyle w:val="13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3" w:name="Par312"/>
      <w:bookmarkEnd w:id="3"/>
      <w:r>
        <w:rPr>
          <w:rFonts w:hint="default" w:ascii="Times New Roman" w:hAnsi="Times New Roman" w:cs="Times New Roman"/>
          <w:sz w:val="24"/>
          <w:szCs w:val="24"/>
        </w:rPr>
        <w:t xml:space="preserve"> X. Меры безопасности на водных объектах в зимний период</w:t>
      </w:r>
    </w:p>
    <w:p>
      <w:pPr>
        <w:pStyle w:val="18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10.1.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сантиметров, при массовом катании - не менее 25 сантиметров.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10.2. При переходе водного объекта по льду на лыжах рекомендуется пользоваться проложенной лыжней. При отсутствии лыжни необходимо отстегнуть крепления лыж и снять петли лыжных палок с кистей рук. Рюкзак или ранец необходимо взять на одно плечо.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10.3. Расстояние между лыжниками должно быть 5 - 6 метров.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10.4. Во время движения лыжник, идущий первым, ударами палок проверяет прочность льда и следит за его состоянием.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10.5. Во время рыбной ловли нельзя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а на другом изготовлена самозатягивающаяся петля.</w:t>
      </w: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XI. Меры обеспечения безопасности жизни людей</w:t>
      </w: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пунктах проката водного инвентаря, водных аттракционах</w:t>
      </w:r>
    </w:p>
    <w:p>
      <w:pPr>
        <w:pStyle w:val="14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других технических средств</w:t>
      </w:r>
    </w:p>
    <w:p>
      <w:pPr>
        <w:pStyle w:val="13"/>
        <w:ind w:left="0" w:leftChars="0" w:right="1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11.1. Организованная эксплуатация на водных объектах, в том числе на льду, водного инвентаря, водных аттракционов и других технических средств активного отдыха на водных объектах осуществляется по заявке, согласованной с органами местного самоуправления муниципального образования автономного округа. В заявке указываются места, сроки и другие условия эксплуатации. Ответственность за безопасность организованной эксплуатации указанных средств возлагается на организатора.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11.2. Прокат водного инвентаря, эксплуатация водных аттракционов и других технических средств пользователями осуществляется под руководством инструктора.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11.3. В обязанности инструктора пункта проката водного инвентаря, эксплуатации водных аттракционов и других технических средств входит:</w:t>
      </w:r>
    </w:p>
    <w:p>
      <w:pPr>
        <w:pStyle w:val="18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выявление наличие (отсутствие) механических повреждений и иных дефектов водного инвентаря, водных аттракционов и других технических средств;</w:t>
      </w:r>
    </w:p>
    <w:p>
      <w:pPr>
        <w:pStyle w:val="18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информирование пользователя о правилах, обязательных для безопасного использования водного инвентаря, водных аттракционов и других технических средств;</w:t>
      </w:r>
    </w:p>
    <w:p>
      <w:pPr>
        <w:pStyle w:val="18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быть в постоянной готовности оказать помощь пользователю;</w:t>
      </w:r>
    </w:p>
    <w:p>
      <w:pPr>
        <w:pStyle w:val="18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предупреждать возможные столкновения пользователей друг с другом.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11.4. Пользователи водного инвентаря и других технических средств на водном объекте должны находиться в спасательных жилетах.</w:t>
      </w:r>
    </w:p>
    <w:p>
      <w:pPr>
        <w:pStyle w:val="13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8"/>
        <w:ind w:left="0" w:leftChars="0" w:right="1" w:firstLine="0" w:firstLineChar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XII. Организация проведения массовых мероприятий</w:t>
      </w:r>
    </w:p>
    <w:p>
      <w:pPr>
        <w:pStyle w:val="18"/>
        <w:ind w:left="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12.1. Проведение на водных объектах массовых культурных, спортивных и других мероприятий разрешается по согласованию с администрацией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района в случае организации мероприятия на межселенной территории, либо с органом местного самоуправления поселения, на территории которого планируется массовое мероприятие и уведомлением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инспекторского отделения Центра ГИМС Главного управления МЧС России по Ханты-Мансийскому автономному округу — Югре и в соответствии с нормативными правовыми актами автономного округа, регламентирующими порядок организации и проведения массовых мероприятий.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12.2. Предприятия, учреждения, организации при проведении экскурсий, коллективных выездов на отдых или других массовых мероприятий на водных объектах назначают в установленном порядке лиц, ответственных за безопасность людей на водных объектах, общественный порядок и охрану окружающей среды.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12.3. Ответственность за безопасность людей на водных объектах, в том числе в ходе подготовки и проведения массовых мероприятий, возлагается на организаторов этих мероприятий.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12.4. Во время проведения массовых мероприятий правовыми актами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района или администрации поселения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района на соответствующих участках водных объектов могут вводиться временные ограничения использования судов, других технических средств.</w:t>
      </w:r>
    </w:p>
    <w:p>
      <w:pPr>
        <w:pStyle w:val="18"/>
        <w:ind w:left="0" w:leftChars="0" w:right="1" w:firstLine="708" w:firstLineChars="0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Информация об ограничениях на водных объектах общего пользования предоставляется гражданам в соответствии с правилами использования водных объектов общего пользования, расположенных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района.</w:t>
      </w:r>
    </w:p>
    <w:p>
      <w:pPr>
        <w:jc w:val="both"/>
        <w:rPr>
          <w:sz w:val="24"/>
          <w:szCs w:val="24"/>
        </w:rPr>
      </w:pPr>
    </w:p>
    <w:sectPr>
      <w:headerReference r:id="rId3" w:type="default"/>
      <w:headerReference r:id="rId4" w:type="even"/>
      <w:pgSz w:w="11906" w:h="16838"/>
      <w:pgMar w:top="1221" w:right="851" w:bottom="1021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no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notBeside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F0E78"/>
    <w:multiLevelType w:val="multilevel"/>
    <w:tmpl w:val="6EFF0E78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3AF7"/>
    <w:rsid w:val="00016942"/>
    <w:rsid w:val="0003499B"/>
    <w:rsid w:val="00034B7B"/>
    <w:rsid w:val="00053172"/>
    <w:rsid w:val="000538F4"/>
    <w:rsid w:val="000668CB"/>
    <w:rsid w:val="00067DEA"/>
    <w:rsid w:val="00073C4A"/>
    <w:rsid w:val="000807FB"/>
    <w:rsid w:val="00082818"/>
    <w:rsid w:val="00086696"/>
    <w:rsid w:val="000866DA"/>
    <w:rsid w:val="000954D8"/>
    <w:rsid w:val="000A7E5F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2030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42533"/>
    <w:rsid w:val="00163899"/>
    <w:rsid w:val="00170636"/>
    <w:rsid w:val="00172A5E"/>
    <w:rsid w:val="00186FA9"/>
    <w:rsid w:val="001921A8"/>
    <w:rsid w:val="001940FF"/>
    <w:rsid w:val="0019726F"/>
    <w:rsid w:val="001A5D70"/>
    <w:rsid w:val="001A7BE0"/>
    <w:rsid w:val="001B01F4"/>
    <w:rsid w:val="001B2D28"/>
    <w:rsid w:val="001B7AD1"/>
    <w:rsid w:val="001C2992"/>
    <w:rsid w:val="001C7D51"/>
    <w:rsid w:val="001D6BFF"/>
    <w:rsid w:val="001E1A90"/>
    <w:rsid w:val="001E31E2"/>
    <w:rsid w:val="001E44B2"/>
    <w:rsid w:val="001E662E"/>
    <w:rsid w:val="001F1CC6"/>
    <w:rsid w:val="001F4FD5"/>
    <w:rsid w:val="001F5B95"/>
    <w:rsid w:val="00201231"/>
    <w:rsid w:val="00202479"/>
    <w:rsid w:val="00205EC1"/>
    <w:rsid w:val="002064E7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EE9"/>
    <w:rsid w:val="002C3D67"/>
    <w:rsid w:val="002E1381"/>
    <w:rsid w:val="002E1F58"/>
    <w:rsid w:val="002F26CA"/>
    <w:rsid w:val="00301D8B"/>
    <w:rsid w:val="00312109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8361B"/>
    <w:rsid w:val="00391576"/>
    <w:rsid w:val="00393A4D"/>
    <w:rsid w:val="003A7295"/>
    <w:rsid w:val="003A7FFD"/>
    <w:rsid w:val="003B5AC3"/>
    <w:rsid w:val="003C005E"/>
    <w:rsid w:val="003C4755"/>
    <w:rsid w:val="003D26FF"/>
    <w:rsid w:val="003D2CFB"/>
    <w:rsid w:val="003E0466"/>
    <w:rsid w:val="003E095A"/>
    <w:rsid w:val="003E2400"/>
    <w:rsid w:val="003E4B39"/>
    <w:rsid w:val="003F2AC5"/>
    <w:rsid w:val="003F6CB1"/>
    <w:rsid w:val="004144B8"/>
    <w:rsid w:val="00427FC4"/>
    <w:rsid w:val="004301E7"/>
    <w:rsid w:val="0043054C"/>
    <w:rsid w:val="00430D06"/>
    <w:rsid w:val="00441AEC"/>
    <w:rsid w:val="00442099"/>
    <w:rsid w:val="0044282C"/>
    <w:rsid w:val="004442EB"/>
    <w:rsid w:val="00445BC1"/>
    <w:rsid w:val="004508D1"/>
    <w:rsid w:val="0045308D"/>
    <w:rsid w:val="00454816"/>
    <w:rsid w:val="00455A23"/>
    <w:rsid w:val="00456D81"/>
    <w:rsid w:val="00463C59"/>
    <w:rsid w:val="0046471F"/>
    <w:rsid w:val="00472DA7"/>
    <w:rsid w:val="00477E41"/>
    <w:rsid w:val="00485DE2"/>
    <w:rsid w:val="0048785D"/>
    <w:rsid w:val="00492C84"/>
    <w:rsid w:val="004931C6"/>
    <w:rsid w:val="004B1086"/>
    <w:rsid w:val="004B25EF"/>
    <w:rsid w:val="004B3CAB"/>
    <w:rsid w:val="004C0660"/>
    <w:rsid w:val="004C3FE9"/>
    <w:rsid w:val="004C4D08"/>
    <w:rsid w:val="004C5C6D"/>
    <w:rsid w:val="004C78C4"/>
    <w:rsid w:val="004D05AA"/>
    <w:rsid w:val="004D1603"/>
    <w:rsid w:val="004D2F46"/>
    <w:rsid w:val="004D4F16"/>
    <w:rsid w:val="004E3F32"/>
    <w:rsid w:val="004E5321"/>
    <w:rsid w:val="004E7B10"/>
    <w:rsid w:val="004F004F"/>
    <w:rsid w:val="004F1D45"/>
    <w:rsid w:val="004F4E85"/>
    <w:rsid w:val="00501050"/>
    <w:rsid w:val="00507C38"/>
    <w:rsid w:val="00513EF6"/>
    <w:rsid w:val="00516B26"/>
    <w:rsid w:val="00523295"/>
    <w:rsid w:val="00523B61"/>
    <w:rsid w:val="005254B5"/>
    <w:rsid w:val="00525961"/>
    <w:rsid w:val="005301F9"/>
    <w:rsid w:val="00530F8E"/>
    <w:rsid w:val="00537B30"/>
    <w:rsid w:val="00543430"/>
    <w:rsid w:val="00545356"/>
    <w:rsid w:val="0055549F"/>
    <w:rsid w:val="00556B36"/>
    <w:rsid w:val="005579AE"/>
    <w:rsid w:val="00557FA5"/>
    <w:rsid w:val="00560B0A"/>
    <w:rsid w:val="0057646C"/>
    <w:rsid w:val="00582A8B"/>
    <w:rsid w:val="005953F9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5D7C"/>
    <w:rsid w:val="005E6EC3"/>
    <w:rsid w:val="005E786E"/>
    <w:rsid w:val="005F6714"/>
    <w:rsid w:val="005F7895"/>
    <w:rsid w:val="006037DC"/>
    <w:rsid w:val="0062625E"/>
    <w:rsid w:val="00634B99"/>
    <w:rsid w:val="00636E40"/>
    <w:rsid w:val="006438EF"/>
    <w:rsid w:val="00677F4B"/>
    <w:rsid w:val="00682229"/>
    <w:rsid w:val="006918BB"/>
    <w:rsid w:val="00696B5B"/>
    <w:rsid w:val="0069778C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0348E"/>
    <w:rsid w:val="00712B7F"/>
    <w:rsid w:val="00712E6B"/>
    <w:rsid w:val="00715897"/>
    <w:rsid w:val="0071794D"/>
    <w:rsid w:val="00725A08"/>
    <w:rsid w:val="00731550"/>
    <w:rsid w:val="00731B1F"/>
    <w:rsid w:val="007329F5"/>
    <w:rsid w:val="00732E41"/>
    <w:rsid w:val="0074380A"/>
    <w:rsid w:val="007469E4"/>
    <w:rsid w:val="0075684D"/>
    <w:rsid w:val="007644F6"/>
    <w:rsid w:val="007868A1"/>
    <w:rsid w:val="00792855"/>
    <w:rsid w:val="007A0575"/>
    <w:rsid w:val="007A4A16"/>
    <w:rsid w:val="007B1582"/>
    <w:rsid w:val="007B7471"/>
    <w:rsid w:val="007C4509"/>
    <w:rsid w:val="007D5B5C"/>
    <w:rsid w:val="007D739F"/>
    <w:rsid w:val="007D7E0D"/>
    <w:rsid w:val="007E5E33"/>
    <w:rsid w:val="007F2322"/>
    <w:rsid w:val="007F2435"/>
    <w:rsid w:val="00804A3F"/>
    <w:rsid w:val="008062E9"/>
    <w:rsid w:val="00811808"/>
    <w:rsid w:val="00812256"/>
    <w:rsid w:val="00813860"/>
    <w:rsid w:val="00814142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0F37"/>
    <w:rsid w:val="00845036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4BD6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12B6"/>
    <w:rsid w:val="00912E0A"/>
    <w:rsid w:val="00915BE7"/>
    <w:rsid w:val="00927989"/>
    <w:rsid w:val="0093110E"/>
    <w:rsid w:val="00932A27"/>
    <w:rsid w:val="0093596C"/>
    <w:rsid w:val="00937B18"/>
    <w:rsid w:val="00944489"/>
    <w:rsid w:val="00944611"/>
    <w:rsid w:val="009502C8"/>
    <w:rsid w:val="00951567"/>
    <w:rsid w:val="00953C02"/>
    <w:rsid w:val="00953D5E"/>
    <w:rsid w:val="0095549C"/>
    <w:rsid w:val="00955741"/>
    <w:rsid w:val="009557A5"/>
    <w:rsid w:val="00955ECA"/>
    <w:rsid w:val="00960200"/>
    <w:rsid w:val="00962B98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C122F"/>
    <w:rsid w:val="009C7EFF"/>
    <w:rsid w:val="009D0703"/>
    <w:rsid w:val="009D118F"/>
    <w:rsid w:val="009D2328"/>
    <w:rsid w:val="009E0281"/>
    <w:rsid w:val="009E1A97"/>
    <w:rsid w:val="009F00BC"/>
    <w:rsid w:val="009F3F84"/>
    <w:rsid w:val="009F69CE"/>
    <w:rsid w:val="009F6BA2"/>
    <w:rsid w:val="00A0197B"/>
    <w:rsid w:val="00A0429D"/>
    <w:rsid w:val="00A0533A"/>
    <w:rsid w:val="00A1263E"/>
    <w:rsid w:val="00A16487"/>
    <w:rsid w:val="00A202DB"/>
    <w:rsid w:val="00A20464"/>
    <w:rsid w:val="00A22466"/>
    <w:rsid w:val="00A2333F"/>
    <w:rsid w:val="00A23CEC"/>
    <w:rsid w:val="00A277E2"/>
    <w:rsid w:val="00A40DEC"/>
    <w:rsid w:val="00A47F7B"/>
    <w:rsid w:val="00A47FB6"/>
    <w:rsid w:val="00A5561A"/>
    <w:rsid w:val="00A617E2"/>
    <w:rsid w:val="00A626F9"/>
    <w:rsid w:val="00A66EF5"/>
    <w:rsid w:val="00A81FEB"/>
    <w:rsid w:val="00A83E56"/>
    <w:rsid w:val="00A8543D"/>
    <w:rsid w:val="00A8629C"/>
    <w:rsid w:val="00A90161"/>
    <w:rsid w:val="00AA073B"/>
    <w:rsid w:val="00AA0A34"/>
    <w:rsid w:val="00AA3E6E"/>
    <w:rsid w:val="00AB6449"/>
    <w:rsid w:val="00AC5F00"/>
    <w:rsid w:val="00AC6A63"/>
    <w:rsid w:val="00AD0272"/>
    <w:rsid w:val="00AD335C"/>
    <w:rsid w:val="00AD685F"/>
    <w:rsid w:val="00AE0294"/>
    <w:rsid w:val="00AE0835"/>
    <w:rsid w:val="00AE3187"/>
    <w:rsid w:val="00AE374C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A598F"/>
    <w:rsid w:val="00BB2BF3"/>
    <w:rsid w:val="00BB7D92"/>
    <w:rsid w:val="00BD7225"/>
    <w:rsid w:val="00BF0DB2"/>
    <w:rsid w:val="00BF1BD0"/>
    <w:rsid w:val="00C00F32"/>
    <w:rsid w:val="00C01037"/>
    <w:rsid w:val="00C026CC"/>
    <w:rsid w:val="00C03E6A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6C6F"/>
    <w:rsid w:val="00C47452"/>
    <w:rsid w:val="00C518C5"/>
    <w:rsid w:val="00C65664"/>
    <w:rsid w:val="00C66B08"/>
    <w:rsid w:val="00C67438"/>
    <w:rsid w:val="00C6777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03B2"/>
    <w:rsid w:val="00CD626A"/>
    <w:rsid w:val="00CE0755"/>
    <w:rsid w:val="00CF243F"/>
    <w:rsid w:val="00CF4CD3"/>
    <w:rsid w:val="00D00D2F"/>
    <w:rsid w:val="00D011E3"/>
    <w:rsid w:val="00D01EBB"/>
    <w:rsid w:val="00D056B3"/>
    <w:rsid w:val="00D05E7D"/>
    <w:rsid w:val="00D060CF"/>
    <w:rsid w:val="00D063D5"/>
    <w:rsid w:val="00D10926"/>
    <w:rsid w:val="00D14467"/>
    <w:rsid w:val="00D16024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3239"/>
    <w:rsid w:val="00DF5D2E"/>
    <w:rsid w:val="00DF7E40"/>
    <w:rsid w:val="00E10620"/>
    <w:rsid w:val="00E11B2F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1037"/>
    <w:rsid w:val="00E97F2B"/>
    <w:rsid w:val="00EA100A"/>
    <w:rsid w:val="00EA2ABD"/>
    <w:rsid w:val="00EA443B"/>
    <w:rsid w:val="00EA597D"/>
    <w:rsid w:val="00EA5B5B"/>
    <w:rsid w:val="00EB0BF7"/>
    <w:rsid w:val="00EB7DAC"/>
    <w:rsid w:val="00EC0A72"/>
    <w:rsid w:val="00EC7AEB"/>
    <w:rsid w:val="00ED73D5"/>
    <w:rsid w:val="00EE5F3B"/>
    <w:rsid w:val="00EF4579"/>
    <w:rsid w:val="00F03B66"/>
    <w:rsid w:val="00F10117"/>
    <w:rsid w:val="00F165F0"/>
    <w:rsid w:val="00F20202"/>
    <w:rsid w:val="00F25DED"/>
    <w:rsid w:val="00F27B63"/>
    <w:rsid w:val="00F3194B"/>
    <w:rsid w:val="00F34DAD"/>
    <w:rsid w:val="00F37E03"/>
    <w:rsid w:val="00F42736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D49A8"/>
    <w:rsid w:val="00FE27DB"/>
    <w:rsid w:val="00FE65E5"/>
    <w:rsid w:val="00FF4125"/>
    <w:rsid w:val="00FF42C1"/>
    <w:rsid w:val="00FF660F"/>
    <w:rsid w:val="06A81D59"/>
    <w:rsid w:val="15074AA3"/>
    <w:rsid w:val="15935DDC"/>
    <w:rsid w:val="19677ED0"/>
    <w:rsid w:val="1AA968AA"/>
    <w:rsid w:val="1B642731"/>
    <w:rsid w:val="1E81151C"/>
    <w:rsid w:val="3CE31D71"/>
    <w:rsid w:val="432B6024"/>
    <w:rsid w:val="4A0B1CEB"/>
    <w:rsid w:val="4A632ED4"/>
    <w:rsid w:val="570820ED"/>
    <w:rsid w:val="77A944C9"/>
    <w:rsid w:val="7B74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page number"/>
    <w:basedOn w:val="2"/>
    <w:qFormat/>
    <w:uiPriority w:val="0"/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qFormat/>
    <w:uiPriority w:val="0"/>
    <w:pPr>
      <w:jc w:val="center"/>
    </w:pPr>
    <w:rPr>
      <w:sz w:val="24"/>
    </w:rPr>
  </w:style>
  <w:style w:type="paragraph" w:styleId="9">
    <w:name w:val="footnote text"/>
    <w:basedOn w:val="1"/>
    <w:link w:val="16"/>
    <w:qFormat/>
    <w:uiPriority w:val="0"/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2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5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6">
    <w:name w:val="Текст сноски Знак"/>
    <w:basedOn w:val="2"/>
    <w:link w:val="9"/>
    <w:qFormat/>
    <w:uiPriority w:val="0"/>
  </w:style>
  <w:style w:type="paragraph" w:customStyle="1" w:styleId="17">
    <w:name w:val="Верхний и нижний колонтитулы"/>
    <w:basedOn w:val="1"/>
    <w:qFormat/>
    <w:uiPriority w:val="0"/>
  </w:style>
  <w:style w:type="paragraph" w:customStyle="1" w:styleId="18">
    <w:name w:val="ConsPlusTextList"/>
    <w:qFormat/>
    <w:uiPriority w:val="0"/>
    <w:pPr>
      <w:widowControl w:val="0"/>
      <w:suppressAutoHyphens/>
    </w:pPr>
    <w:rPr>
      <w:rFonts w:ascii="Times New Roman" w:hAnsi="Times New Roman" w:eastAsia="Liberation Serif" w:cs="Liberation Serif"/>
      <w:kern w:val="2"/>
      <w:sz w:val="24"/>
      <w:szCs w:val="24"/>
      <w:lang w:val="ru-RU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27FB-F808-49B4-BF31-FA589D25AE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WareZ Provider</Company>
  <Pages>2</Pages>
  <Words>493</Words>
  <Characters>2811</Characters>
  <Lines>23</Lines>
  <Paragraphs>6</Paragraphs>
  <TotalTime>31</TotalTime>
  <ScaleCrop>false</ScaleCrop>
  <LinksUpToDate>false</LinksUpToDate>
  <CharactersWithSpaces>3298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2020-12-14T06:19:00Z</dcterms:created>
  <dc:creator>А.Н.Гончаров</dc:creator>
  <cp:lastModifiedBy>BraginVV</cp:lastModifiedBy>
  <cp:lastPrinted>2025-02-13T05:35:49Z</cp:lastPrinted>
  <dcterms:modified xsi:type="dcterms:W3CDTF">2025-02-13T09:40:02Z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1B519435D2214DB7B9AB3B13722233E5_13</vt:lpwstr>
  </property>
</Properties>
</file>