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проекта постановления администрации Белоярского района «</w:t>
            </w:r>
            <w:r>
              <w:rPr>
                <w:rFonts w:hint="default" w:ascii="Times New Roman" w:hAnsi="Times New Roman"/>
                <w:b w:val="0"/>
              </w:rPr>
              <w:t>О внесении изменений в приложение к постановлению администрации Белоярского района от 16 июня 2011 года № 886</w:t>
            </w:r>
            <w:r>
              <w:rPr>
                <w:rFonts w:ascii="Times New Roman" w:hAnsi="Times New Roman" w:cs="Times New Roman"/>
                <w:b w:val="0"/>
              </w:rPr>
              <w:t>»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b w:val="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"mailto:BoriskinaGN@admbel.ru"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BoriskinaGN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admbel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июня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ind w:left="1027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21C22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</Pages>
  <Words>641</Words>
  <Characters>3660</Characters>
  <Lines>30</Lines>
  <Paragraphs>8</Paragraphs>
  <TotalTime>0</TotalTime>
  <ScaleCrop>false</ScaleCrop>
  <LinksUpToDate>false</LinksUpToDate>
  <CharactersWithSpaces>4293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2022-03-11T10:47:00Z</dcterms:created>
  <dc:creator>Войтэхович Александр Романович</dc:creator>
  <cp:lastModifiedBy>YagodkaYV</cp:lastModifiedBy>
  <cp:lastPrinted>2021-02-19T11:20:00Z</cp:lastPrinted>
  <dcterms:modified xsi:type="dcterms:W3CDTF">2022-06-03T10:12:26Z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